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259D" w14:textId="6107BEAA" w:rsidR="006B2986" w:rsidRPr="005C57E3" w:rsidRDefault="006B2986" w:rsidP="006B2986">
      <w:pPr>
        <w:pStyle w:val="Heading1"/>
        <w:rPr>
          <w:rFonts w:ascii="Arial" w:hAnsi="Arial" w:cs="Arial"/>
          <w:color w:val="auto"/>
          <w:sz w:val="24"/>
          <w:szCs w:val="24"/>
        </w:rPr>
      </w:pPr>
      <w:r w:rsidRPr="005C57E3">
        <w:rPr>
          <w:rFonts w:ascii="Arial" w:hAnsi="Arial" w:cs="Arial"/>
          <w:color w:val="auto"/>
          <w:sz w:val="24"/>
          <w:szCs w:val="24"/>
        </w:rPr>
        <w:t xml:space="preserve">Wider Impacts of COVID-19 on Health (WICH) </w:t>
      </w:r>
      <w:r w:rsidRPr="005C57E3">
        <w:rPr>
          <w:rFonts w:ascii="Arial" w:hAnsi="Arial" w:cs="Arial"/>
          <w:b w:val="0"/>
          <w:bCs w:val="0"/>
          <w:color w:val="auto"/>
          <w:sz w:val="24"/>
          <w:szCs w:val="24"/>
        </w:rPr>
        <w:t>summary,</w:t>
      </w:r>
      <w:r w:rsidR="008864C4">
        <w:rPr>
          <w:rFonts w:ascii="Arial" w:hAnsi="Arial" w:cs="Arial"/>
          <w:b w:val="0"/>
          <w:bCs w:val="0"/>
          <w:color w:val="auto"/>
          <w:sz w:val="24"/>
          <w:szCs w:val="24"/>
        </w:rPr>
        <w:t xml:space="preserve"> 19 May</w:t>
      </w:r>
      <w:r w:rsidRPr="005C57E3">
        <w:rPr>
          <w:rFonts w:ascii="Arial" w:hAnsi="Arial" w:cs="Arial"/>
          <w:b w:val="0"/>
          <w:bCs w:val="0"/>
          <w:color w:val="auto"/>
          <w:sz w:val="24"/>
          <w:szCs w:val="24"/>
        </w:rPr>
        <w:t xml:space="preserve"> 202</w:t>
      </w:r>
      <w:r w:rsidR="00065E36">
        <w:rPr>
          <w:rFonts w:ascii="Arial" w:hAnsi="Arial" w:cs="Arial"/>
          <w:b w:val="0"/>
          <w:bCs w:val="0"/>
          <w:color w:val="auto"/>
          <w:sz w:val="24"/>
          <w:szCs w:val="24"/>
        </w:rPr>
        <w:t>2</w:t>
      </w:r>
    </w:p>
    <w:p w14:paraId="1F8BCE21" w14:textId="77777777" w:rsidR="006B2986" w:rsidRPr="005C57E3" w:rsidRDefault="006B2986" w:rsidP="006B2986"/>
    <w:p w14:paraId="516F9683" w14:textId="77777777" w:rsidR="006B2986" w:rsidRPr="005C57E3" w:rsidRDefault="006B2986" w:rsidP="006B2986">
      <w:pPr>
        <w:pStyle w:val="Heading3"/>
        <w:rPr>
          <w:rFonts w:ascii="Arial" w:hAnsi="Arial" w:cs="Arial"/>
          <w:b/>
          <w:bCs/>
          <w:color w:val="auto"/>
        </w:rPr>
      </w:pPr>
      <w:r w:rsidRPr="005C57E3">
        <w:rPr>
          <w:rFonts w:ascii="Arial" w:hAnsi="Arial" w:cs="Arial"/>
          <w:b/>
          <w:bCs/>
          <w:color w:val="auto"/>
        </w:rPr>
        <w:t>Overview</w:t>
      </w:r>
    </w:p>
    <w:p w14:paraId="752FDD61" w14:textId="0E549AAF" w:rsidR="004A1ED5" w:rsidRDefault="006B2986" w:rsidP="005E55D0">
      <w:pPr>
        <w:pStyle w:val="BodyText"/>
      </w:pPr>
      <w:r>
        <w:t xml:space="preserve">This summary provides the main messages for </w:t>
      </w:r>
      <w:r w:rsidR="00AC4AFD">
        <w:t xml:space="preserve">some of the </w:t>
      </w:r>
      <w:r>
        <w:t xml:space="preserve">metrics updated </w:t>
      </w:r>
      <w:r w:rsidR="009A0588">
        <w:t>in this release</w:t>
      </w:r>
      <w:r>
        <w:t xml:space="preserve">. </w:t>
      </w:r>
      <w:r w:rsidR="00094E38">
        <w:t xml:space="preserve">It </w:t>
      </w:r>
      <w:r w:rsidR="004A1ED5">
        <w:t>will cover</w:t>
      </w:r>
      <w:r w:rsidR="00094E38">
        <w:t xml:space="preserve"> </w:t>
      </w:r>
      <w:r w:rsidR="008864C4">
        <w:t xml:space="preserve">Hepatitis C </w:t>
      </w:r>
      <w:r w:rsidR="00C32236">
        <w:t>diagnoses</w:t>
      </w:r>
      <w:r w:rsidR="008864C4">
        <w:t xml:space="preserve">, </w:t>
      </w:r>
      <w:r w:rsidR="00356B99">
        <w:t>d</w:t>
      </w:r>
      <w:r w:rsidR="00356B99" w:rsidRPr="00356B99">
        <w:t>ementia and Alzheimer’s disease</w:t>
      </w:r>
      <w:r w:rsidR="00356B99">
        <w:t xml:space="preserve"> </w:t>
      </w:r>
      <w:r w:rsidR="00094E38">
        <w:t>metrics including</w:t>
      </w:r>
      <w:r w:rsidR="00356B99">
        <w:t xml:space="preserve"> referrals to memory clinic</w:t>
      </w:r>
      <w:r w:rsidR="0076534A">
        <w:t>s</w:t>
      </w:r>
      <w:r w:rsidR="00356B99">
        <w:t xml:space="preserve"> and dementia diagnosis rate, </w:t>
      </w:r>
      <w:r w:rsidR="00094E38">
        <w:t xml:space="preserve">and </w:t>
      </w:r>
      <w:r w:rsidR="00A82251">
        <w:t>s</w:t>
      </w:r>
      <w:r w:rsidR="00073766" w:rsidRPr="00073766">
        <w:t>moking quit attempts</w:t>
      </w:r>
      <w:r w:rsidR="00094E38">
        <w:t xml:space="preserve">. </w:t>
      </w:r>
      <w:r w:rsidR="004A1ED5">
        <w:t xml:space="preserve">Other updated </w:t>
      </w:r>
      <w:r w:rsidR="00A65747">
        <w:t>themes</w:t>
      </w:r>
      <w:r w:rsidR="00AC4AFD">
        <w:t xml:space="preserve"> not discussed</w:t>
      </w:r>
      <w:r w:rsidR="004A1ED5">
        <w:t xml:space="preserve"> inclu</w:t>
      </w:r>
      <w:r w:rsidR="00A65747">
        <w:t>de</w:t>
      </w:r>
      <w:r w:rsidR="00356B99">
        <w:t xml:space="preserve"> neurological care</w:t>
      </w:r>
      <w:r w:rsidR="00094E38">
        <w:t xml:space="preserve"> and alcohol.</w:t>
      </w:r>
    </w:p>
    <w:p w14:paraId="631DBF67" w14:textId="77508A7B" w:rsidR="0064707B" w:rsidRPr="00A07556" w:rsidRDefault="00A07556" w:rsidP="00A07556">
      <w:pPr>
        <w:rPr>
          <w:b/>
          <w:bCs/>
        </w:rPr>
      </w:pPr>
      <w:r>
        <w:rPr>
          <w:b/>
          <w:bCs/>
        </w:rPr>
        <w:t>Main messages</w:t>
      </w:r>
    </w:p>
    <w:p w14:paraId="6E64C44F" w14:textId="25098B8D" w:rsidR="00A153C5" w:rsidRDefault="00A153C5" w:rsidP="00A153C5">
      <w:pPr>
        <w:rPr>
          <w:b/>
          <w:bCs/>
        </w:rPr>
      </w:pPr>
      <w:bookmarkStart w:id="0" w:name="_Hlk101256914"/>
      <w:r>
        <w:rPr>
          <w:b/>
          <w:bCs/>
        </w:rPr>
        <w:t>Hepatitis C</w:t>
      </w:r>
    </w:p>
    <w:p w14:paraId="3E15E381" w14:textId="426A58B9" w:rsidR="00BE3895" w:rsidRDefault="00BE3895" w:rsidP="0064707B">
      <w:r>
        <w:t>Figure 1</w:t>
      </w:r>
      <w:r w:rsidR="00CF5C5F" w:rsidRPr="00CF5C5F">
        <w:t xml:space="preserve"> show</w:t>
      </w:r>
      <w:r>
        <w:t>s the</w:t>
      </w:r>
      <w:r w:rsidR="00CF5C5F" w:rsidRPr="00CF5C5F">
        <w:t xml:space="preserve"> laboratory confirmed new diagnoses of hepatitis reported to UKHSA from diagnostic laboratories via the Second Generation Surveillance System (SGSS).</w:t>
      </w:r>
      <w:r>
        <w:t xml:space="preserve"> It</w:t>
      </w:r>
      <w:r w:rsidR="0064707B" w:rsidRPr="00736299">
        <w:t xml:space="preserve"> </w:t>
      </w:r>
      <w:r w:rsidRPr="00736299">
        <w:t>illustrat</w:t>
      </w:r>
      <w:r>
        <w:t>es</w:t>
      </w:r>
      <w:r w:rsidR="0064707B" w:rsidRPr="00736299">
        <w:t xml:space="preserve"> that</w:t>
      </w:r>
      <w:r w:rsidR="003A1733">
        <w:t xml:space="preserve"> in March 2020 the number of hepatitis C virus (HCV) diagnoses dropped below 2019 levels and remained this way until November 2020. </w:t>
      </w:r>
      <w:r w:rsidR="00F6194E">
        <w:t xml:space="preserve">This decrease is mainly due to barriers in accessing testing because of the COVID-19 restrictions in place at the time. </w:t>
      </w:r>
      <w:r w:rsidR="003A1733">
        <w:t>Between</w:t>
      </w:r>
      <w:r>
        <w:t xml:space="preserve"> </w:t>
      </w:r>
      <w:r w:rsidR="00C32236">
        <w:t xml:space="preserve">March </w:t>
      </w:r>
      <w:r w:rsidR="003A1733">
        <w:t xml:space="preserve">and December </w:t>
      </w:r>
      <w:r>
        <w:t xml:space="preserve">2021, </w:t>
      </w:r>
      <w:r w:rsidR="0064707B" w:rsidRPr="00736299">
        <w:t>the</w:t>
      </w:r>
      <w:r>
        <w:t xml:space="preserve"> number of diagnos</w:t>
      </w:r>
      <w:r w:rsidR="00C32236">
        <w:t>e</w:t>
      </w:r>
      <w:r>
        <w:t xml:space="preserve">s </w:t>
      </w:r>
      <w:r w:rsidR="00660CCC">
        <w:t>are</w:t>
      </w:r>
      <w:r w:rsidR="00056361">
        <w:t xml:space="preserve"> similar to the rates for 2019</w:t>
      </w:r>
      <w:r w:rsidR="00C758DD">
        <w:t xml:space="preserve">. </w:t>
      </w:r>
      <w:r>
        <w:t xml:space="preserve"> </w:t>
      </w:r>
    </w:p>
    <w:p w14:paraId="02157B88" w14:textId="346A52B1" w:rsidR="00CF5C5F" w:rsidRDefault="00CF5C5F" w:rsidP="00CF5C5F">
      <w:pPr>
        <w:rPr>
          <w:b/>
          <w:bCs/>
        </w:rPr>
      </w:pPr>
      <w:r>
        <w:rPr>
          <w:b/>
          <w:bCs/>
        </w:rPr>
        <w:t xml:space="preserve">Figure 1: </w:t>
      </w:r>
      <w:r w:rsidR="00BE3895" w:rsidRPr="00BE3895">
        <w:rPr>
          <w:b/>
          <w:bCs/>
        </w:rPr>
        <w:t xml:space="preserve">Number of new hepatitis C (HCV) diagnoses in </w:t>
      </w:r>
      <w:r w:rsidR="00BE3895">
        <w:rPr>
          <w:b/>
          <w:bCs/>
        </w:rPr>
        <w:t xml:space="preserve">England, </w:t>
      </w:r>
      <w:r w:rsidR="0064707B">
        <w:rPr>
          <w:b/>
          <w:bCs/>
        </w:rPr>
        <w:t>January 2019 to December 2021</w:t>
      </w:r>
    </w:p>
    <w:p w14:paraId="22932595" w14:textId="77777777" w:rsidR="00CF5C5F" w:rsidRPr="00A153C5" w:rsidRDefault="00CF5C5F" w:rsidP="00B917F8"/>
    <w:p w14:paraId="539ECDD3" w14:textId="15F2BE3E" w:rsidR="00A153C5" w:rsidRDefault="00CF5C5F" w:rsidP="00B917F8">
      <w:pPr>
        <w:rPr>
          <w:b/>
          <w:bCs/>
        </w:rPr>
      </w:pPr>
      <w:r>
        <w:rPr>
          <w:noProof/>
        </w:rPr>
        <w:drawing>
          <wp:inline distT="0" distB="0" distL="0" distR="0" wp14:anchorId="32B66871" wp14:editId="3B63E2D7">
            <wp:extent cx="5731510" cy="36087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608705"/>
                    </a:xfrm>
                    <a:prstGeom prst="rect">
                      <a:avLst/>
                    </a:prstGeom>
                    <a:noFill/>
                    <a:ln>
                      <a:noFill/>
                    </a:ln>
                  </pic:spPr>
                </pic:pic>
              </a:graphicData>
            </a:graphic>
          </wp:inline>
        </w:drawing>
      </w:r>
    </w:p>
    <w:p w14:paraId="3E85B0D2" w14:textId="713DD531" w:rsidR="00B917F8" w:rsidRDefault="00B917F8" w:rsidP="00B917F8">
      <w:pPr>
        <w:rPr>
          <w:b/>
          <w:bCs/>
        </w:rPr>
      </w:pPr>
      <w:r w:rsidRPr="000B380D">
        <w:rPr>
          <w:b/>
          <w:bCs/>
        </w:rPr>
        <w:t>Dementia and Alzheimer’s disease</w:t>
      </w:r>
      <w:r w:rsidRPr="00BF4F52">
        <w:rPr>
          <w:b/>
          <w:bCs/>
        </w:rPr>
        <w:t xml:space="preserve"> </w:t>
      </w:r>
    </w:p>
    <w:p w14:paraId="29DD4E7E" w14:textId="77777777" w:rsidR="00B917F8" w:rsidRDefault="00B917F8" w:rsidP="00B917F8">
      <w:r w:rsidRPr="007335B7">
        <w:lastRenderedPageBreak/>
        <w:t xml:space="preserve">Prompt and early diagnosis of dementia </w:t>
      </w:r>
      <w:r w:rsidRPr="00B42F7C">
        <w:rPr>
          <w:color w:val="0B0C0C"/>
          <w:shd w:val="clear" w:color="auto" w:fill="FFFFFF"/>
        </w:rPr>
        <w:t>enables people living with dementia, their carers and healthcare staff to plan accordingly and work together to improve health and care outcomes.</w:t>
      </w:r>
      <w:r>
        <w:rPr>
          <w:color w:val="0B0C0C"/>
          <w:sz w:val="26"/>
          <w:szCs w:val="26"/>
          <w:shd w:val="clear" w:color="auto" w:fill="FFFFFF"/>
        </w:rPr>
        <w:t xml:space="preserve"> </w:t>
      </w:r>
      <w:r>
        <w:t>T</w:t>
      </w:r>
      <w:r w:rsidRPr="00B11E2C">
        <w:t xml:space="preserve">he majority of diagnoses for dementia are established following a referral to a </w:t>
      </w:r>
      <w:r>
        <w:t>m</w:t>
      </w:r>
      <w:r w:rsidRPr="00B11E2C">
        <w:t xml:space="preserve">emory </w:t>
      </w:r>
      <w:r>
        <w:t>c</w:t>
      </w:r>
      <w:r w:rsidRPr="00B11E2C">
        <w:t xml:space="preserve">linic. Primary care practitioners can refer individuals to a memory clinic if they suspect the potential for dementia. </w:t>
      </w:r>
    </w:p>
    <w:p w14:paraId="2A190853" w14:textId="19176907" w:rsidR="00B917F8" w:rsidRDefault="00B917F8" w:rsidP="00B917F8">
      <w:r w:rsidRPr="00B11E2C">
        <w:t>As a consequence of the COVID</w:t>
      </w:r>
      <w:r>
        <w:t>-</w:t>
      </w:r>
      <w:r w:rsidRPr="00B11E2C">
        <w:t xml:space="preserve">19 pandemic, referrals to memory clinics from primary care practitioners reduced in April 2020.  Referral numbers remained flat until June 2021 and by </w:t>
      </w:r>
      <w:r w:rsidR="00660CCC">
        <w:t>October</w:t>
      </w:r>
      <w:r w:rsidR="00660CCC" w:rsidRPr="00B11E2C">
        <w:t xml:space="preserve"> </w:t>
      </w:r>
      <w:r w:rsidRPr="00B11E2C">
        <w:t>202</w:t>
      </w:r>
      <w:r w:rsidR="00660CCC">
        <w:t>1</w:t>
      </w:r>
      <w:r w:rsidRPr="00B11E2C">
        <w:t xml:space="preserve"> there was evidence that referrals were returning to pre-pandemic levels</w:t>
      </w:r>
      <w:r>
        <w:t xml:space="preserve"> (Figure </w:t>
      </w:r>
      <w:r w:rsidR="0064707B">
        <w:t>2</w:t>
      </w:r>
      <w:r>
        <w:t xml:space="preserve">). </w:t>
      </w:r>
    </w:p>
    <w:p w14:paraId="1D6115BF" w14:textId="403D10E9" w:rsidR="00B917F8" w:rsidRDefault="00B917F8" w:rsidP="00B917F8">
      <w:r>
        <w:rPr>
          <w:b/>
          <w:bCs/>
        </w:rPr>
        <w:t xml:space="preserve">Figure </w:t>
      </w:r>
      <w:r w:rsidR="00CF5C5F">
        <w:rPr>
          <w:b/>
          <w:bCs/>
        </w:rPr>
        <w:t>2</w:t>
      </w:r>
      <w:r>
        <w:rPr>
          <w:b/>
          <w:bCs/>
        </w:rPr>
        <w:t>: Cumulative count of referrals to memory clinics (all ages), 2017/18 to March 2021/22, England</w:t>
      </w:r>
    </w:p>
    <w:p w14:paraId="308BFFB4" w14:textId="77777777" w:rsidR="00B917F8" w:rsidRDefault="00B917F8" w:rsidP="00B917F8">
      <w:pPr>
        <w:rPr>
          <w:b/>
          <w:bCs/>
        </w:rPr>
      </w:pPr>
      <w:r w:rsidRPr="00A742A1">
        <w:rPr>
          <w:b/>
          <w:bCs/>
        </w:rPr>
        <w:t xml:space="preserve"> </w:t>
      </w:r>
      <w:r>
        <w:rPr>
          <w:noProof/>
        </w:rPr>
        <w:drawing>
          <wp:inline distT="0" distB="0" distL="0" distR="0" wp14:anchorId="166E0674" wp14:editId="15FA596C">
            <wp:extent cx="5731510" cy="43065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306570"/>
                    </a:xfrm>
                    <a:prstGeom prst="rect">
                      <a:avLst/>
                    </a:prstGeom>
                    <a:noFill/>
                    <a:ln>
                      <a:noFill/>
                    </a:ln>
                  </pic:spPr>
                </pic:pic>
              </a:graphicData>
            </a:graphic>
          </wp:inline>
        </w:drawing>
      </w:r>
    </w:p>
    <w:p w14:paraId="05DD6287" w14:textId="77777777" w:rsidR="00B917F8" w:rsidRDefault="00B917F8" w:rsidP="00B917F8"/>
    <w:p w14:paraId="1919891F" w14:textId="43852F19" w:rsidR="00B917F8" w:rsidRDefault="00B917F8" w:rsidP="00B917F8">
      <w:r w:rsidRPr="00B11E2C">
        <w:t xml:space="preserve">The Estimated Dementia Diagnosis Rate (EDDR) </w:t>
      </w:r>
      <w:r>
        <w:t xml:space="preserve">measures the number of people with a </w:t>
      </w:r>
      <w:r w:rsidRPr="00B56E10">
        <w:t xml:space="preserve">formal diagnosis of dementia as a percentage of those estimated to be living with dementia. The current aspiration is that 66.7% of people with dementia have a formal diagnosis. During wave 1 of the pandemic, the EDDR decreased to below the aspired level and has remained below since then (Figure </w:t>
      </w:r>
      <w:r w:rsidR="0064707B">
        <w:t>3</w:t>
      </w:r>
      <w:r w:rsidRPr="00B56E10">
        <w:t>).</w:t>
      </w:r>
    </w:p>
    <w:p w14:paraId="03AE26F5" w14:textId="77777777" w:rsidR="00B917F8" w:rsidRDefault="00B917F8" w:rsidP="00B917F8">
      <w:pPr>
        <w:rPr>
          <w:b/>
          <w:bCs/>
        </w:rPr>
      </w:pPr>
    </w:p>
    <w:p w14:paraId="4B193D6D" w14:textId="0716CD70" w:rsidR="00B917F8" w:rsidRDefault="00B917F8" w:rsidP="00B917F8">
      <w:pPr>
        <w:rPr>
          <w:b/>
          <w:bCs/>
        </w:rPr>
      </w:pPr>
      <w:r>
        <w:rPr>
          <w:b/>
          <w:bCs/>
        </w:rPr>
        <w:lastRenderedPageBreak/>
        <w:t xml:space="preserve">Figure </w:t>
      </w:r>
      <w:r w:rsidR="00CF5C5F">
        <w:rPr>
          <w:b/>
          <w:bCs/>
        </w:rPr>
        <w:t>3</w:t>
      </w:r>
      <w:r>
        <w:rPr>
          <w:b/>
          <w:bCs/>
        </w:rPr>
        <w:t>: Estimated dementia diagnosis rate (aged 65 and over), 2019 to March 2022, England</w:t>
      </w:r>
    </w:p>
    <w:p w14:paraId="22564FD2" w14:textId="77777777" w:rsidR="00B917F8" w:rsidRPr="006307DB" w:rsidRDefault="00B917F8" w:rsidP="00B917F8">
      <w:pPr>
        <w:rPr>
          <w:b/>
          <w:bCs/>
        </w:rPr>
      </w:pPr>
      <w:r>
        <w:rPr>
          <w:noProof/>
        </w:rPr>
        <w:drawing>
          <wp:inline distT="0" distB="0" distL="0" distR="0" wp14:anchorId="40455070" wp14:editId="3E2BA81D">
            <wp:extent cx="5731510" cy="42481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48150"/>
                    </a:xfrm>
                    <a:prstGeom prst="rect">
                      <a:avLst/>
                    </a:prstGeom>
                    <a:noFill/>
                    <a:ln>
                      <a:noFill/>
                    </a:ln>
                  </pic:spPr>
                </pic:pic>
              </a:graphicData>
            </a:graphic>
          </wp:inline>
        </w:drawing>
      </w:r>
    </w:p>
    <w:p w14:paraId="6441013B" w14:textId="77777777" w:rsidR="00B917F8" w:rsidRDefault="00B917F8" w:rsidP="00B917F8"/>
    <w:p w14:paraId="2CD91B63" w14:textId="5156B406" w:rsidR="00B917F8" w:rsidRDefault="00B917F8" w:rsidP="00B917F8">
      <w:r w:rsidRPr="00374671">
        <w:t xml:space="preserve">Following a formal diagnosis of dementia, an individual should receive a dementia care plan that addresses their current needs. Primary care practitioners have the responsibility for managing care of people with dementia post diagnosis and this includes a Quality Outcome Framework requirement to review dementia care plans to ensure they remain contemporary to the needs of the individual. The aspiration is that 75% of dementia care plans are reviewed annually. Between March 2020 and January 2021, the percentage of care plan reviews had decreased from the aspired level to under 40% and remained at this level until September 2021 (Figure </w:t>
      </w:r>
      <w:r w:rsidR="0064707B">
        <w:t>4</w:t>
      </w:r>
      <w:r w:rsidRPr="00374671">
        <w:t>). By March 2022, there is evidence to suggest that dementia care plan reviews were once again being undertaken but the level remained significantly under the baseline average.</w:t>
      </w:r>
    </w:p>
    <w:p w14:paraId="1FFC6E79" w14:textId="2FD884C2" w:rsidR="00B917F8" w:rsidRPr="00142609" w:rsidRDefault="00B917F8" w:rsidP="00B917F8">
      <w:pPr>
        <w:rPr>
          <w:b/>
          <w:bCs/>
        </w:rPr>
      </w:pPr>
      <w:r w:rsidRPr="00142609">
        <w:rPr>
          <w:b/>
          <w:bCs/>
        </w:rPr>
        <w:t xml:space="preserve">Figure </w:t>
      </w:r>
      <w:r w:rsidR="00CF5C5F">
        <w:rPr>
          <w:b/>
          <w:bCs/>
        </w:rPr>
        <w:t>4</w:t>
      </w:r>
      <w:r w:rsidRPr="00142609">
        <w:rPr>
          <w:b/>
          <w:bCs/>
        </w:rPr>
        <w:t xml:space="preserve">: </w:t>
      </w:r>
      <w:r>
        <w:rPr>
          <w:b/>
          <w:bCs/>
        </w:rPr>
        <w:t xml:space="preserve">Percentage of those with a dementia diagnosis </w:t>
      </w:r>
      <w:r w:rsidRPr="00142609">
        <w:rPr>
          <w:b/>
          <w:bCs/>
        </w:rPr>
        <w:t>with care plan or care plan review in the preceding 12 months</w:t>
      </w:r>
      <w:r>
        <w:rPr>
          <w:b/>
          <w:bCs/>
        </w:rPr>
        <w:t xml:space="preserve"> (all ages), 2018-19 to March 2022</w:t>
      </w:r>
    </w:p>
    <w:p w14:paraId="3226D2B4" w14:textId="19E06FA0" w:rsidR="00B917F8" w:rsidRDefault="00B917F8" w:rsidP="00B917F8">
      <w:r>
        <w:rPr>
          <w:noProof/>
        </w:rPr>
        <w:lastRenderedPageBreak/>
        <w:drawing>
          <wp:inline distT="0" distB="0" distL="0" distR="0" wp14:anchorId="52270BFD" wp14:editId="2329A284">
            <wp:extent cx="5731510" cy="36658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665855"/>
                    </a:xfrm>
                    <a:prstGeom prst="rect">
                      <a:avLst/>
                    </a:prstGeom>
                    <a:noFill/>
                    <a:ln>
                      <a:noFill/>
                    </a:ln>
                  </pic:spPr>
                </pic:pic>
              </a:graphicData>
            </a:graphic>
          </wp:inline>
        </w:drawing>
      </w:r>
    </w:p>
    <w:p w14:paraId="690BCB94" w14:textId="77777777" w:rsidR="00B917F8" w:rsidRDefault="00B917F8" w:rsidP="00406E73">
      <w:pPr>
        <w:rPr>
          <w:b/>
          <w:bCs/>
        </w:rPr>
      </w:pPr>
    </w:p>
    <w:p w14:paraId="51281607" w14:textId="77777777" w:rsidR="00B917F8" w:rsidRDefault="00B917F8" w:rsidP="00406E73">
      <w:pPr>
        <w:rPr>
          <w:b/>
          <w:bCs/>
        </w:rPr>
      </w:pPr>
    </w:p>
    <w:p w14:paraId="3ABB4CFF" w14:textId="77777777" w:rsidR="00B917F8" w:rsidRDefault="00B917F8" w:rsidP="00406E73">
      <w:pPr>
        <w:rPr>
          <w:b/>
          <w:bCs/>
        </w:rPr>
      </w:pPr>
    </w:p>
    <w:p w14:paraId="59D3BF72" w14:textId="1F73F192" w:rsidR="0001409E" w:rsidRDefault="0001409E" w:rsidP="00406E73">
      <w:pPr>
        <w:rPr>
          <w:b/>
          <w:bCs/>
        </w:rPr>
      </w:pPr>
      <w:r>
        <w:rPr>
          <w:b/>
          <w:bCs/>
        </w:rPr>
        <w:t xml:space="preserve">Smoking </w:t>
      </w:r>
      <w:r w:rsidR="006701CE">
        <w:rPr>
          <w:b/>
          <w:bCs/>
        </w:rPr>
        <w:t>quit attempts</w:t>
      </w:r>
    </w:p>
    <w:p w14:paraId="36897B8E" w14:textId="3DCDA4F7" w:rsidR="003F496A" w:rsidRPr="0001409E" w:rsidRDefault="008B7700" w:rsidP="00406E73">
      <w:r>
        <w:t xml:space="preserve">The Smoking </w:t>
      </w:r>
      <w:r w:rsidRPr="00736299">
        <w:t>Toolkit Study is a monthly household survey, which each month involves a new representative sample of between 1</w:t>
      </w:r>
      <w:r w:rsidR="005727D6">
        <w:t>,</w:t>
      </w:r>
      <w:r w:rsidRPr="00736299">
        <w:t>700 and 1</w:t>
      </w:r>
      <w:r w:rsidR="005727D6">
        <w:t>,</w:t>
      </w:r>
      <w:r w:rsidRPr="00736299">
        <w:t xml:space="preserve">800 adults. </w:t>
      </w:r>
      <w:r w:rsidR="003F496A">
        <w:t xml:space="preserve">There was an increase in the percentage of people attempting to quit smoking from March to June 2020 (Figure 5). After that the percentage fluctuated but remained consistently higher than 2019. From May 2021 to October 2021, the number of people attempting to quit smoking increased from 34% to over 41% of smokers. Since December 2021, the percentage has gradually declined. </w:t>
      </w:r>
    </w:p>
    <w:p w14:paraId="1FDA6852" w14:textId="2047F671" w:rsidR="0001409E" w:rsidRDefault="0001409E" w:rsidP="00406E73">
      <w:pPr>
        <w:rPr>
          <w:b/>
          <w:bCs/>
        </w:rPr>
      </w:pPr>
      <w:r>
        <w:rPr>
          <w:b/>
          <w:bCs/>
        </w:rPr>
        <w:t xml:space="preserve">Figure </w:t>
      </w:r>
      <w:r w:rsidR="00CF5C5F">
        <w:rPr>
          <w:b/>
          <w:bCs/>
        </w:rPr>
        <w:t>5</w:t>
      </w:r>
      <w:r>
        <w:rPr>
          <w:b/>
          <w:bCs/>
        </w:rPr>
        <w:t>:</w:t>
      </w:r>
      <w:r w:rsidR="00660CCC" w:rsidRPr="00660CCC">
        <w:rPr>
          <w:b/>
          <w:bCs/>
        </w:rPr>
        <w:t xml:space="preserve"> </w:t>
      </w:r>
      <w:r w:rsidR="00660CCC">
        <w:rPr>
          <w:b/>
          <w:bCs/>
        </w:rPr>
        <w:t xml:space="preserve">Percentage of smokers in the Smoking Toolkit Study making quit attempts, </w:t>
      </w:r>
      <w:r w:rsidR="003F496A">
        <w:rPr>
          <w:b/>
          <w:bCs/>
        </w:rPr>
        <w:t xml:space="preserve">January </w:t>
      </w:r>
      <w:r w:rsidR="00660CCC">
        <w:rPr>
          <w:b/>
          <w:bCs/>
        </w:rPr>
        <w:t xml:space="preserve">2018 to March 2022, </w:t>
      </w:r>
      <w:r>
        <w:rPr>
          <w:b/>
          <w:bCs/>
        </w:rPr>
        <w:t>in England</w:t>
      </w:r>
    </w:p>
    <w:p w14:paraId="6D21F4CE" w14:textId="03C600FB" w:rsidR="00A153C5" w:rsidRDefault="00660CCC" w:rsidP="00406E73">
      <w:pPr>
        <w:rPr>
          <w:b/>
          <w:bCs/>
        </w:rPr>
      </w:pPr>
      <w:r w:rsidRPr="00660CCC">
        <w:rPr>
          <w:b/>
          <w:bCs/>
          <w:noProof/>
        </w:rPr>
        <w:lastRenderedPageBreak/>
        <w:drawing>
          <wp:inline distT="0" distB="0" distL="0" distR="0" wp14:anchorId="2D92891A" wp14:editId="785C644E">
            <wp:extent cx="5731510" cy="26625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662555"/>
                    </a:xfrm>
                    <a:prstGeom prst="rect">
                      <a:avLst/>
                    </a:prstGeom>
                  </pic:spPr>
                </pic:pic>
              </a:graphicData>
            </a:graphic>
          </wp:inline>
        </w:drawing>
      </w:r>
      <w:bookmarkEnd w:id="0"/>
    </w:p>
    <w:sectPr w:rsidR="00A15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61A18"/>
    <w:multiLevelType w:val="hybridMultilevel"/>
    <w:tmpl w:val="65086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86"/>
    <w:rsid w:val="00004440"/>
    <w:rsid w:val="000071C6"/>
    <w:rsid w:val="0001409E"/>
    <w:rsid w:val="00014FF6"/>
    <w:rsid w:val="00035900"/>
    <w:rsid w:val="00056361"/>
    <w:rsid w:val="00065E36"/>
    <w:rsid w:val="00066AFD"/>
    <w:rsid w:val="00073766"/>
    <w:rsid w:val="00094E38"/>
    <w:rsid w:val="000B380D"/>
    <w:rsid w:val="000D2CC3"/>
    <w:rsid w:val="000E7854"/>
    <w:rsid w:val="000F5D62"/>
    <w:rsid w:val="001108B3"/>
    <w:rsid w:val="00124E7B"/>
    <w:rsid w:val="001358EB"/>
    <w:rsid w:val="00142609"/>
    <w:rsid w:val="00150FC7"/>
    <w:rsid w:val="00162E1E"/>
    <w:rsid w:val="00166107"/>
    <w:rsid w:val="00182CAE"/>
    <w:rsid w:val="001A6F8E"/>
    <w:rsid w:val="001B15D0"/>
    <w:rsid w:val="00202B86"/>
    <w:rsid w:val="00251892"/>
    <w:rsid w:val="00284E5E"/>
    <w:rsid w:val="00290107"/>
    <w:rsid w:val="002A650A"/>
    <w:rsid w:val="002B1157"/>
    <w:rsid w:val="002B2314"/>
    <w:rsid w:val="002C1FE5"/>
    <w:rsid w:val="002C5210"/>
    <w:rsid w:val="002C6612"/>
    <w:rsid w:val="002F599B"/>
    <w:rsid w:val="002F6E5B"/>
    <w:rsid w:val="00300DE7"/>
    <w:rsid w:val="00302ACD"/>
    <w:rsid w:val="00331BE6"/>
    <w:rsid w:val="00344DAA"/>
    <w:rsid w:val="003526F2"/>
    <w:rsid w:val="00356B99"/>
    <w:rsid w:val="00357D0E"/>
    <w:rsid w:val="003616C5"/>
    <w:rsid w:val="00377D76"/>
    <w:rsid w:val="00381AA8"/>
    <w:rsid w:val="00384160"/>
    <w:rsid w:val="003A1733"/>
    <w:rsid w:val="003C2F85"/>
    <w:rsid w:val="003D725E"/>
    <w:rsid w:val="003F496A"/>
    <w:rsid w:val="0040532B"/>
    <w:rsid w:val="00406E73"/>
    <w:rsid w:val="004131E8"/>
    <w:rsid w:val="00413490"/>
    <w:rsid w:val="004211F2"/>
    <w:rsid w:val="004576C8"/>
    <w:rsid w:val="00490C88"/>
    <w:rsid w:val="004A1B20"/>
    <w:rsid w:val="004A1ED5"/>
    <w:rsid w:val="004C4E29"/>
    <w:rsid w:val="004E4F20"/>
    <w:rsid w:val="005048C9"/>
    <w:rsid w:val="00520C1E"/>
    <w:rsid w:val="005370D0"/>
    <w:rsid w:val="00540080"/>
    <w:rsid w:val="0054102D"/>
    <w:rsid w:val="005614B7"/>
    <w:rsid w:val="00565D51"/>
    <w:rsid w:val="005727D6"/>
    <w:rsid w:val="00582379"/>
    <w:rsid w:val="00585A57"/>
    <w:rsid w:val="0059366D"/>
    <w:rsid w:val="00594D19"/>
    <w:rsid w:val="005D1DC8"/>
    <w:rsid w:val="005E30E9"/>
    <w:rsid w:val="005E466F"/>
    <w:rsid w:val="005E55D0"/>
    <w:rsid w:val="00624EC1"/>
    <w:rsid w:val="00640CFE"/>
    <w:rsid w:val="0064707B"/>
    <w:rsid w:val="00660CCC"/>
    <w:rsid w:val="006646F2"/>
    <w:rsid w:val="006701CE"/>
    <w:rsid w:val="00676387"/>
    <w:rsid w:val="00677AEC"/>
    <w:rsid w:val="0069361B"/>
    <w:rsid w:val="00697541"/>
    <w:rsid w:val="006B2986"/>
    <w:rsid w:val="006C1EBF"/>
    <w:rsid w:val="006C676A"/>
    <w:rsid w:val="006D4690"/>
    <w:rsid w:val="006D5B57"/>
    <w:rsid w:val="006F333D"/>
    <w:rsid w:val="006F3800"/>
    <w:rsid w:val="00714611"/>
    <w:rsid w:val="00720B57"/>
    <w:rsid w:val="00722516"/>
    <w:rsid w:val="0072738F"/>
    <w:rsid w:val="0073041E"/>
    <w:rsid w:val="00731A8D"/>
    <w:rsid w:val="007335B7"/>
    <w:rsid w:val="00736299"/>
    <w:rsid w:val="0076534A"/>
    <w:rsid w:val="00775F25"/>
    <w:rsid w:val="007A05A9"/>
    <w:rsid w:val="007C0BC4"/>
    <w:rsid w:val="007F33D3"/>
    <w:rsid w:val="007F3548"/>
    <w:rsid w:val="00820AFD"/>
    <w:rsid w:val="00826ADE"/>
    <w:rsid w:val="00843219"/>
    <w:rsid w:val="008529BB"/>
    <w:rsid w:val="00861E1F"/>
    <w:rsid w:val="0086436F"/>
    <w:rsid w:val="00872616"/>
    <w:rsid w:val="008864C4"/>
    <w:rsid w:val="00897B64"/>
    <w:rsid w:val="008A062A"/>
    <w:rsid w:val="008A36AA"/>
    <w:rsid w:val="008B6BD6"/>
    <w:rsid w:val="008B7700"/>
    <w:rsid w:val="008C7E9F"/>
    <w:rsid w:val="009222E3"/>
    <w:rsid w:val="009325F9"/>
    <w:rsid w:val="0095258E"/>
    <w:rsid w:val="009717DA"/>
    <w:rsid w:val="0097756D"/>
    <w:rsid w:val="00981E89"/>
    <w:rsid w:val="00984117"/>
    <w:rsid w:val="00994107"/>
    <w:rsid w:val="009A0588"/>
    <w:rsid w:val="009A43DE"/>
    <w:rsid w:val="009E4F31"/>
    <w:rsid w:val="00A07556"/>
    <w:rsid w:val="00A153C5"/>
    <w:rsid w:val="00A229D8"/>
    <w:rsid w:val="00A33FF7"/>
    <w:rsid w:val="00A35720"/>
    <w:rsid w:val="00A50DC2"/>
    <w:rsid w:val="00A6346C"/>
    <w:rsid w:val="00A646B5"/>
    <w:rsid w:val="00A65747"/>
    <w:rsid w:val="00A742A1"/>
    <w:rsid w:val="00A82251"/>
    <w:rsid w:val="00AC2D17"/>
    <w:rsid w:val="00AC4AFD"/>
    <w:rsid w:val="00AD1FEB"/>
    <w:rsid w:val="00B0115C"/>
    <w:rsid w:val="00B06B8D"/>
    <w:rsid w:val="00B11E2C"/>
    <w:rsid w:val="00B37D4D"/>
    <w:rsid w:val="00B42F7C"/>
    <w:rsid w:val="00B80E6F"/>
    <w:rsid w:val="00B917F8"/>
    <w:rsid w:val="00BA6341"/>
    <w:rsid w:val="00BC2EA0"/>
    <w:rsid w:val="00BD7A7E"/>
    <w:rsid w:val="00BE0B82"/>
    <w:rsid w:val="00BE3895"/>
    <w:rsid w:val="00BF4F52"/>
    <w:rsid w:val="00C04D46"/>
    <w:rsid w:val="00C32236"/>
    <w:rsid w:val="00C43445"/>
    <w:rsid w:val="00C64B9B"/>
    <w:rsid w:val="00C67FBD"/>
    <w:rsid w:val="00C758DD"/>
    <w:rsid w:val="00C86319"/>
    <w:rsid w:val="00C87344"/>
    <w:rsid w:val="00C965AA"/>
    <w:rsid w:val="00CA2C85"/>
    <w:rsid w:val="00CF11CF"/>
    <w:rsid w:val="00CF1C31"/>
    <w:rsid w:val="00CF5C5F"/>
    <w:rsid w:val="00D0694F"/>
    <w:rsid w:val="00D2283B"/>
    <w:rsid w:val="00D240A4"/>
    <w:rsid w:val="00D3332A"/>
    <w:rsid w:val="00D81707"/>
    <w:rsid w:val="00D93C25"/>
    <w:rsid w:val="00D95BDA"/>
    <w:rsid w:val="00DA233F"/>
    <w:rsid w:val="00DB5BE4"/>
    <w:rsid w:val="00DD6318"/>
    <w:rsid w:val="00DF584F"/>
    <w:rsid w:val="00DF5B78"/>
    <w:rsid w:val="00E143DA"/>
    <w:rsid w:val="00E47C66"/>
    <w:rsid w:val="00E6686B"/>
    <w:rsid w:val="00E80CD0"/>
    <w:rsid w:val="00E97500"/>
    <w:rsid w:val="00EA39DE"/>
    <w:rsid w:val="00EA7D7B"/>
    <w:rsid w:val="00EC2652"/>
    <w:rsid w:val="00EC7619"/>
    <w:rsid w:val="00EE351C"/>
    <w:rsid w:val="00EF7DEA"/>
    <w:rsid w:val="00F00FF1"/>
    <w:rsid w:val="00F03B03"/>
    <w:rsid w:val="00F1447B"/>
    <w:rsid w:val="00F15EDD"/>
    <w:rsid w:val="00F403A5"/>
    <w:rsid w:val="00F6194E"/>
    <w:rsid w:val="00F766AA"/>
    <w:rsid w:val="00F8365C"/>
    <w:rsid w:val="00FA438B"/>
    <w:rsid w:val="00FB5BE0"/>
    <w:rsid w:val="00FB6A2D"/>
    <w:rsid w:val="00FD0C06"/>
    <w:rsid w:val="00FD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1283"/>
  <w15:chartTrackingRefBased/>
  <w15:docId w15:val="{3C463919-9301-4F11-AD05-E81BA91A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86"/>
    <w:rPr>
      <w:rFonts w:ascii="Arial" w:hAnsi="Arial" w:cs="Arial"/>
      <w:sz w:val="24"/>
      <w:szCs w:val="24"/>
    </w:rPr>
  </w:style>
  <w:style w:type="paragraph" w:styleId="Heading1">
    <w:name w:val="heading 1"/>
    <w:basedOn w:val="Normal"/>
    <w:next w:val="BodyText"/>
    <w:link w:val="Heading1Char"/>
    <w:uiPriority w:val="9"/>
    <w:qFormat/>
    <w:rsid w:val="006B2986"/>
    <w:pPr>
      <w:keepNext/>
      <w:keepLines/>
      <w:spacing w:before="480" w:after="0" w:line="240" w:lineRule="auto"/>
      <w:outlineLvl w:val="0"/>
    </w:pPr>
    <w:rPr>
      <w:rFonts w:asciiTheme="majorHAnsi" w:eastAsiaTheme="majorEastAsia" w:hAnsiTheme="majorHAnsi" w:cstheme="majorBidi"/>
      <w:b/>
      <w:bCs/>
      <w:color w:val="4472C4" w:themeColor="accent1"/>
      <w:sz w:val="32"/>
      <w:szCs w:val="32"/>
    </w:rPr>
  </w:style>
  <w:style w:type="paragraph" w:styleId="Heading3">
    <w:name w:val="heading 3"/>
    <w:basedOn w:val="Normal"/>
    <w:next w:val="Normal"/>
    <w:link w:val="Heading3Char"/>
    <w:uiPriority w:val="9"/>
    <w:unhideWhenUsed/>
    <w:qFormat/>
    <w:rsid w:val="006B298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86"/>
    <w:rPr>
      <w:rFonts w:ascii="Segoe UI" w:hAnsi="Segoe UI" w:cs="Segoe UI"/>
      <w:sz w:val="18"/>
      <w:szCs w:val="18"/>
    </w:rPr>
  </w:style>
  <w:style w:type="character" w:customStyle="1" w:styleId="Heading1Char">
    <w:name w:val="Heading 1 Char"/>
    <w:basedOn w:val="DefaultParagraphFont"/>
    <w:link w:val="Heading1"/>
    <w:uiPriority w:val="9"/>
    <w:rsid w:val="006B2986"/>
    <w:rPr>
      <w:rFonts w:asciiTheme="majorHAnsi" w:eastAsiaTheme="majorEastAsia" w:hAnsiTheme="majorHAnsi" w:cstheme="majorBidi"/>
      <w:b/>
      <w:bCs/>
      <w:color w:val="4472C4" w:themeColor="accent1"/>
      <w:sz w:val="32"/>
      <w:szCs w:val="32"/>
    </w:rPr>
  </w:style>
  <w:style w:type="character" w:customStyle="1" w:styleId="Heading3Char">
    <w:name w:val="Heading 3 Char"/>
    <w:basedOn w:val="DefaultParagraphFont"/>
    <w:link w:val="Heading3"/>
    <w:uiPriority w:val="9"/>
    <w:rsid w:val="006B2986"/>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6B2986"/>
    <w:pPr>
      <w:spacing w:after="120"/>
    </w:pPr>
  </w:style>
  <w:style w:type="character" w:customStyle="1" w:styleId="BodyTextChar">
    <w:name w:val="Body Text Char"/>
    <w:basedOn w:val="DefaultParagraphFont"/>
    <w:link w:val="BodyText"/>
    <w:uiPriority w:val="99"/>
    <w:rsid w:val="006B2986"/>
    <w:rPr>
      <w:rFonts w:ascii="Arial" w:hAnsi="Arial" w:cs="Arial"/>
      <w:sz w:val="24"/>
      <w:szCs w:val="24"/>
    </w:rPr>
  </w:style>
  <w:style w:type="character" w:styleId="CommentReference">
    <w:name w:val="annotation reference"/>
    <w:basedOn w:val="DefaultParagraphFont"/>
    <w:uiPriority w:val="99"/>
    <w:semiHidden/>
    <w:unhideWhenUsed/>
    <w:rsid w:val="006B2986"/>
    <w:rPr>
      <w:sz w:val="16"/>
      <w:szCs w:val="16"/>
    </w:rPr>
  </w:style>
  <w:style w:type="paragraph" w:styleId="CommentText">
    <w:name w:val="annotation text"/>
    <w:basedOn w:val="Normal"/>
    <w:link w:val="CommentTextChar"/>
    <w:uiPriority w:val="99"/>
    <w:unhideWhenUsed/>
    <w:rsid w:val="006B2986"/>
    <w:pPr>
      <w:spacing w:line="240" w:lineRule="auto"/>
    </w:pPr>
    <w:rPr>
      <w:sz w:val="20"/>
      <w:szCs w:val="20"/>
    </w:rPr>
  </w:style>
  <w:style w:type="character" w:customStyle="1" w:styleId="CommentTextChar">
    <w:name w:val="Comment Text Char"/>
    <w:basedOn w:val="DefaultParagraphFont"/>
    <w:link w:val="CommentText"/>
    <w:uiPriority w:val="99"/>
    <w:rsid w:val="006B298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46B5"/>
    <w:rPr>
      <w:b/>
      <w:bCs/>
    </w:rPr>
  </w:style>
  <w:style w:type="character" w:customStyle="1" w:styleId="CommentSubjectChar">
    <w:name w:val="Comment Subject Char"/>
    <w:basedOn w:val="CommentTextChar"/>
    <w:link w:val="CommentSubject"/>
    <w:uiPriority w:val="99"/>
    <w:semiHidden/>
    <w:rsid w:val="00A646B5"/>
    <w:rPr>
      <w:rFonts w:ascii="Arial" w:hAnsi="Arial" w:cs="Arial"/>
      <w:b/>
      <w:bCs/>
      <w:sz w:val="20"/>
      <w:szCs w:val="20"/>
    </w:rPr>
  </w:style>
  <w:style w:type="paragraph" w:styleId="Revision">
    <w:name w:val="Revision"/>
    <w:hidden/>
    <w:uiPriority w:val="99"/>
    <w:semiHidden/>
    <w:rsid w:val="00C67FBD"/>
    <w:pPr>
      <w:spacing w:after="0" w:line="240" w:lineRule="auto"/>
    </w:pPr>
    <w:rPr>
      <w:rFonts w:ascii="Arial" w:hAnsi="Arial" w:cs="Arial"/>
      <w:sz w:val="24"/>
      <w:szCs w:val="24"/>
    </w:rPr>
  </w:style>
  <w:style w:type="paragraph" w:styleId="ListParagraph">
    <w:name w:val="List Paragraph"/>
    <w:basedOn w:val="Normal"/>
    <w:uiPriority w:val="34"/>
    <w:qFormat/>
    <w:rsid w:val="00843219"/>
    <w:pPr>
      <w:spacing w:after="0" w:line="240" w:lineRule="auto"/>
      <w:ind w:left="720"/>
      <w:contextualSpacing/>
      <w:jc w:val="both"/>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89987">
      <w:bodyDiv w:val="1"/>
      <w:marLeft w:val="0"/>
      <w:marRight w:val="0"/>
      <w:marTop w:val="0"/>
      <w:marBottom w:val="0"/>
      <w:divBdr>
        <w:top w:val="none" w:sz="0" w:space="0" w:color="auto"/>
        <w:left w:val="none" w:sz="0" w:space="0" w:color="auto"/>
        <w:bottom w:val="none" w:sz="0" w:space="0" w:color="auto"/>
        <w:right w:val="none" w:sz="0" w:space="0" w:color="auto"/>
      </w:divBdr>
    </w:div>
    <w:div w:id="16630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BDD5-9B6F-4E7F-9CC2-71D9F48D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Hutchinson</dc:creator>
  <cp:keywords/>
  <dc:description/>
  <cp:lastModifiedBy>Jack Hambly</cp:lastModifiedBy>
  <cp:revision>5</cp:revision>
  <dcterms:created xsi:type="dcterms:W3CDTF">2022-05-18T11:16:00Z</dcterms:created>
  <dcterms:modified xsi:type="dcterms:W3CDTF">2022-05-18T11:36:00Z</dcterms:modified>
</cp:coreProperties>
</file>