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C259D" w14:textId="2646936E" w:rsidR="006B2986" w:rsidRPr="005C57E3" w:rsidRDefault="006B2986" w:rsidP="006B2986">
      <w:pPr>
        <w:pStyle w:val="Heading1"/>
        <w:rPr>
          <w:rFonts w:ascii="Arial" w:hAnsi="Arial" w:cs="Arial"/>
          <w:color w:val="auto"/>
          <w:sz w:val="24"/>
          <w:szCs w:val="24"/>
        </w:rPr>
      </w:pPr>
      <w:r w:rsidRPr="005C57E3">
        <w:rPr>
          <w:rFonts w:ascii="Arial" w:hAnsi="Arial" w:cs="Arial"/>
          <w:color w:val="auto"/>
          <w:sz w:val="24"/>
          <w:szCs w:val="24"/>
        </w:rPr>
        <w:t xml:space="preserve">Wider Impacts of COVID-19 on Health (WICH) </w:t>
      </w:r>
      <w:r w:rsidRPr="005C57E3">
        <w:rPr>
          <w:rFonts w:ascii="Arial" w:hAnsi="Arial" w:cs="Arial"/>
          <w:b w:val="0"/>
          <w:bCs w:val="0"/>
          <w:color w:val="auto"/>
          <w:sz w:val="24"/>
          <w:szCs w:val="24"/>
        </w:rPr>
        <w:t xml:space="preserve">summary, </w:t>
      </w:r>
      <w:r w:rsidR="00EA7D7B">
        <w:rPr>
          <w:rFonts w:ascii="Arial" w:hAnsi="Arial" w:cs="Arial"/>
          <w:b w:val="0"/>
          <w:bCs w:val="0"/>
          <w:color w:val="auto"/>
          <w:sz w:val="24"/>
          <w:szCs w:val="24"/>
        </w:rPr>
        <w:t>17</w:t>
      </w:r>
      <w:r w:rsidRPr="005C57E3">
        <w:rPr>
          <w:rFonts w:ascii="Arial" w:hAnsi="Arial" w:cs="Arial"/>
          <w:b w:val="0"/>
          <w:bCs w:val="0"/>
          <w:color w:val="auto"/>
          <w:sz w:val="24"/>
          <w:szCs w:val="24"/>
        </w:rPr>
        <w:t xml:space="preserve"> </w:t>
      </w:r>
      <w:r w:rsidR="0059366D">
        <w:rPr>
          <w:rFonts w:ascii="Arial" w:hAnsi="Arial" w:cs="Arial"/>
          <w:b w:val="0"/>
          <w:bCs w:val="0"/>
          <w:color w:val="auto"/>
          <w:sz w:val="24"/>
          <w:szCs w:val="24"/>
        </w:rPr>
        <w:t>March</w:t>
      </w:r>
      <w:r w:rsidRPr="005C57E3">
        <w:rPr>
          <w:rFonts w:ascii="Arial" w:hAnsi="Arial" w:cs="Arial"/>
          <w:b w:val="0"/>
          <w:bCs w:val="0"/>
          <w:color w:val="auto"/>
          <w:sz w:val="24"/>
          <w:szCs w:val="24"/>
        </w:rPr>
        <w:t xml:space="preserve"> 202</w:t>
      </w:r>
      <w:r w:rsidR="00065E36">
        <w:rPr>
          <w:rFonts w:ascii="Arial" w:hAnsi="Arial" w:cs="Arial"/>
          <w:b w:val="0"/>
          <w:bCs w:val="0"/>
          <w:color w:val="auto"/>
          <w:sz w:val="24"/>
          <w:szCs w:val="24"/>
        </w:rPr>
        <w:t>2</w:t>
      </w:r>
    </w:p>
    <w:p w14:paraId="1F8BCE21" w14:textId="77777777" w:rsidR="006B2986" w:rsidRPr="005C57E3" w:rsidRDefault="006B2986" w:rsidP="006B2986"/>
    <w:p w14:paraId="516F9683" w14:textId="77777777" w:rsidR="006B2986" w:rsidRPr="005C57E3" w:rsidRDefault="006B2986" w:rsidP="006B2986">
      <w:pPr>
        <w:pStyle w:val="Heading3"/>
        <w:rPr>
          <w:rFonts w:ascii="Arial" w:hAnsi="Arial" w:cs="Arial"/>
          <w:b/>
          <w:bCs/>
          <w:color w:val="auto"/>
        </w:rPr>
      </w:pPr>
      <w:r w:rsidRPr="005C57E3">
        <w:rPr>
          <w:rFonts w:ascii="Arial" w:hAnsi="Arial" w:cs="Arial"/>
          <w:b/>
          <w:bCs/>
          <w:color w:val="auto"/>
        </w:rPr>
        <w:t>Overview</w:t>
      </w:r>
    </w:p>
    <w:p w14:paraId="752FDD61" w14:textId="7BEDD1E0" w:rsidR="004A1ED5" w:rsidRPr="005E55D0" w:rsidRDefault="006B2986" w:rsidP="005E55D0">
      <w:pPr>
        <w:pStyle w:val="BodyText"/>
      </w:pPr>
      <w:r>
        <w:t xml:space="preserve">This summary provides the main messages for </w:t>
      </w:r>
      <w:r w:rsidR="00AC4AFD">
        <w:t xml:space="preserve">some of the </w:t>
      </w:r>
      <w:r>
        <w:t xml:space="preserve">metrics updated </w:t>
      </w:r>
      <w:r w:rsidR="009A0588">
        <w:t>in this release</w:t>
      </w:r>
      <w:r>
        <w:t xml:space="preserve">. </w:t>
      </w:r>
      <w:r w:rsidR="004A1ED5">
        <w:t xml:space="preserve">This </w:t>
      </w:r>
      <w:r w:rsidR="00AC4AFD">
        <w:t xml:space="preserve">release </w:t>
      </w:r>
      <w:r w:rsidR="004A1ED5">
        <w:t xml:space="preserve">will cover </w:t>
      </w:r>
      <w:r w:rsidR="00A65747">
        <w:t xml:space="preserve">the life satisfaction and anxiety metrics in the wellbeing theme, which have been revised and updated, </w:t>
      </w:r>
      <w:r w:rsidR="00E97500">
        <w:t xml:space="preserve">and </w:t>
      </w:r>
      <w:r w:rsidR="00A65747">
        <w:t xml:space="preserve">job vacancies and redundancy rate in the employment and income theme. </w:t>
      </w:r>
      <w:r w:rsidR="004A1ED5">
        <w:t xml:space="preserve">Other updated </w:t>
      </w:r>
      <w:r w:rsidR="00A65747">
        <w:t>themes</w:t>
      </w:r>
      <w:r w:rsidR="00AC4AFD">
        <w:t xml:space="preserve"> not discussed</w:t>
      </w:r>
      <w:r w:rsidR="004A1ED5">
        <w:t xml:space="preserve"> inclu</w:t>
      </w:r>
      <w:r w:rsidR="00A65747">
        <w:t xml:space="preserve">de life expectancy, neurological care, </w:t>
      </w:r>
      <w:proofErr w:type="gramStart"/>
      <w:r w:rsidR="00A65747">
        <w:t>alcohol</w:t>
      </w:r>
      <w:proofErr w:type="gramEnd"/>
      <w:r w:rsidR="00A65747">
        <w:t xml:space="preserve"> and smoking</w:t>
      </w:r>
      <w:r w:rsidR="00E97500">
        <w:t>.</w:t>
      </w:r>
      <w:r w:rsidR="00A65747">
        <w:t xml:space="preserve"> </w:t>
      </w:r>
    </w:p>
    <w:p w14:paraId="0697AAD7" w14:textId="4FA442CE" w:rsidR="006B2986" w:rsidRPr="005C57E3" w:rsidRDefault="006B2986" w:rsidP="006B2986">
      <w:pPr>
        <w:rPr>
          <w:rFonts w:eastAsiaTheme="majorEastAsia"/>
          <w:b/>
          <w:bCs/>
        </w:rPr>
      </w:pPr>
      <w:r>
        <w:rPr>
          <w:rFonts w:eastAsiaTheme="majorEastAsia"/>
          <w:b/>
          <w:bCs/>
        </w:rPr>
        <w:t>Main messages</w:t>
      </w:r>
    </w:p>
    <w:p w14:paraId="4B3E1E32" w14:textId="3C2EEC78" w:rsidR="004C4E29" w:rsidRDefault="004C4E29" w:rsidP="00406E73">
      <w:pPr>
        <w:rPr>
          <w:b/>
          <w:bCs/>
        </w:rPr>
      </w:pPr>
      <w:r>
        <w:rPr>
          <w:b/>
          <w:bCs/>
        </w:rPr>
        <w:t>Wellbeing</w:t>
      </w:r>
    </w:p>
    <w:p w14:paraId="6F328657" w14:textId="7BE35334" w:rsidR="00720B57" w:rsidRPr="00720B57" w:rsidRDefault="00720B57" w:rsidP="00F403A5">
      <w:bookmarkStart w:id="0" w:name="_Hlk97795716"/>
      <w:r>
        <w:t xml:space="preserve">In this release, </w:t>
      </w:r>
      <w:r w:rsidR="00624EC1">
        <w:t>metrics on wellbeing and loneliness have been revised to enable better interpretation of the impact of the pandemic. D</w:t>
      </w:r>
      <w:r>
        <w:t>ata from the Opinions and Lifestyle Survey (Office for National Statistics) has been grouped into broader three-month time periods</w:t>
      </w:r>
      <w:r w:rsidR="00624EC1">
        <w:t xml:space="preserve"> to assess trends</w:t>
      </w:r>
      <w:r>
        <w:t xml:space="preserve">. </w:t>
      </w:r>
    </w:p>
    <w:bookmarkEnd w:id="0"/>
    <w:p w14:paraId="13C43101" w14:textId="7BAD36AB" w:rsidR="00F403A5" w:rsidRDefault="003D725E" w:rsidP="00F403A5">
      <w:r>
        <w:t xml:space="preserve">Figure 1 shows that </w:t>
      </w:r>
      <w:r w:rsidR="00624EC1">
        <w:t xml:space="preserve">from </w:t>
      </w:r>
      <w:r w:rsidR="00F403A5">
        <w:t>the three-month</w:t>
      </w:r>
      <w:r w:rsidR="00F403A5" w:rsidRPr="00F403A5">
        <w:t xml:space="preserve"> period to 1</w:t>
      </w:r>
      <w:r w:rsidR="00F403A5">
        <w:t xml:space="preserve">4 </w:t>
      </w:r>
      <w:r w:rsidR="00F403A5" w:rsidRPr="00F403A5">
        <w:t xml:space="preserve">June 2020, through to the latest </w:t>
      </w:r>
      <w:r w:rsidR="009717DA" w:rsidRPr="00F403A5">
        <w:t>three-month</w:t>
      </w:r>
      <w:r w:rsidR="009717DA">
        <w:t xml:space="preserve"> period</w:t>
      </w:r>
      <w:r w:rsidR="00F403A5" w:rsidRPr="00F403A5">
        <w:t xml:space="preserve"> ending 26 December 2021, respondents in England reported lower life satisfaction than in 2019 (baseline of 5.7%). In the three months to 14 March 2021 (lockdown 3 period), low life satisfaction peaked at 14%, significantly higher than in the most recent three months to 26 December 2021 </w:t>
      </w:r>
      <w:r w:rsidR="00624EC1">
        <w:t>when</w:t>
      </w:r>
      <w:r w:rsidR="00624EC1" w:rsidRPr="00F403A5">
        <w:t xml:space="preserve"> </w:t>
      </w:r>
      <w:r w:rsidR="00F403A5" w:rsidRPr="00F403A5">
        <w:t>8.1% of respondents report</w:t>
      </w:r>
      <w:r w:rsidR="00624EC1">
        <w:t>ed</w:t>
      </w:r>
      <w:r w:rsidR="00F403A5" w:rsidRPr="00F403A5">
        <w:t xml:space="preserve"> low life satisfaction.</w:t>
      </w:r>
    </w:p>
    <w:p w14:paraId="73F5D4CB" w14:textId="4B1380CB" w:rsidR="00406E73" w:rsidRDefault="00406E73" w:rsidP="00406E73">
      <w:pPr>
        <w:rPr>
          <w:b/>
          <w:bCs/>
        </w:rPr>
      </w:pPr>
      <w:r>
        <w:rPr>
          <w:b/>
          <w:bCs/>
        </w:rPr>
        <w:t xml:space="preserve">Figure </w:t>
      </w:r>
      <w:r w:rsidR="007A05A9">
        <w:rPr>
          <w:b/>
          <w:bCs/>
        </w:rPr>
        <w:t>1</w:t>
      </w:r>
      <w:r>
        <w:rPr>
          <w:b/>
          <w:bCs/>
        </w:rPr>
        <w:t xml:space="preserve">: </w:t>
      </w:r>
      <w:r w:rsidR="00820AFD">
        <w:rPr>
          <w:b/>
          <w:bCs/>
        </w:rPr>
        <w:t xml:space="preserve">Trend in the percentage of respondents </w:t>
      </w:r>
      <w:r w:rsidR="00624EC1">
        <w:rPr>
          <w:b/>
          <w:bCs/>
        </w:rPr>
        <w:t>reporting</w:t>
      </w:r>
      <w:r w:rsidR="00820AFD">
        <w:rPr>
          <w:b/>
          <w:bCs/>
        </w:rPr>
        <w:t xml:space="preserve"> low life satisfaction (score 0-4)</w:t>
      </w:r>
      <w:r w:rsidR="006D5B57">
        <w:rPr>
          <w:b/>
          <w:bCs/>
        </w:rPr>
        <w:t>,</w:t>
      </w:r>
      <w:r w:rsidR="00820AFD">
        <w:rPr>
          <w:b/>
          <w:bCs/>
        </w:rPr>
        <w:t xml:space="preserve"> </w:t>
      </w:r>
      <w:r w:rsidR="00624EC1">
        <w:rPr>
          <w:b/>
          <w:bCs/>
        </w:rPr>
        <w:t xml:space="preserve">three-month rolling average, </w:t>
      </w:r>
      <w:r w:rsidR="00820AFD">
        <w:rPr>
          <w:b/>
          <w:bCs/>
        </w:rPr>
        <w:t>England</w:t>
      </w:r>
      <w:r w:rsidR="00624EC1">
        <w:rPr>
          <w:b/>
          <w:bCs/>
        </w:rPr>
        <w:t>, June 2020 to December 2021</w:t>
      </w:r>
    </w:p>
    <w:p w14:paraId="5132EE55" w14:textId="15E0A3AD" w:rsidR="00406E73" w:rsidRDefault="006D5B57" w:rsidP="00406E73">
      <w:pPr>
        <w:rPr>
          <w:b/>
          <w:bCs/>
        </w:rPr>
      </w:pPr>
      <w:r>
        <w:rPr>
          <w:b/>
          <w:bCs/>
          <w:noProof/>
        </w:rPr>
        <w:drawing>
          <wp:inline distT="0" distB="0" distL="0" distR="0" wp14:anchorId="65F3E21C" wp14:editId="7D619597">
            <wp:extent cx="5731510" cy="2586355"/>
            <wp:effectExtent l="0" t="0" r="2540" b="4445"/>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2586355"/>
                    </a:xfrm>
                    <a:prstGeom prst="rect">
                      <a:avLst/>
                    </a:prstGeom>
                  </pic:spPr>
                </pic:pic>
              </a:graphicData>
            </a:graphic>
          </wp:inline>
        </w:drawing>
      </w:r>
    </w:p>
    <w:p w14:paraId="0641DBFC" w14:textId="0231F1B4" w:rsidR="00624EC1" w:rsidRPr="005E55D0" w:rsidRDefault="003526F2" w:rsidP="006B2986">
      <w:pPr>
        <w:rPr>
          <w:i/>
          <w:iCs/>
        </w:rPr>
      </w:pPr>
      <w:r w:rsidRPr="005E55D0">
        <w:rPr>
          <w:i/>
          <w:iCs/>
          <w:shd w:val="clear" w:color="auto" w:fill="FFFFFF"/>
        </w:rPr>
        <w:t>Source: OHID analysis of Opinions and Lifestyle Survey data from Office for National Statistics, 2021</w:t>
      </w:r>
    </w:p>
    <w:p w14:paraId="6168C638" w14:textId="663B2686" w:rsidR="00377D76" w:rsidRPr="00377D76" w:rsidRDefault="00377D76" w:rsidP="006B2986">
      <w:r w:rsidRPr="00377D76">
        <w:t xml:space="preserve">Between the three-month periods ending 18 October 2020 and 13 December 2020, the lowest earners (up to £10,000) had </w:t>
      </w:r>
      <w:r w:rsidR="001358EB">
        <w:t xml:space="preserve">a </w:t>
      </w:r>
      <w:r w:rsidRPr="00377D76">
        <w:t xml:space="preserve">significantly higher percentage of </w:t>
      </w:r>
      <w:r w:rsidRPr="00377D76">
        <w:lastRenderedPageBreak/>
        <w:t>respondents with low life satisfaction compared to all other respondents</w:t>
      </w:r>
      <w:r>
        <w:t xml:space="preserve"> (Figure 2)</w:t>
      </w:r>
      <w:r w:rsidRPr="00377D76">
        <w:t xml:space="preserve">. However, recent data </w:t>
      </w:r>
      <w:r w:rsidR="001358EB">
        <w:t>shows</w:t>
      </w:r>
      <w:r w:rsidRPr="00377D76">
        <w:t xml:space="preserve"> this gap has narrowed with lowest earners having similar low life satisfaction levels to respondents with annual incomes of £10,000 up to £15,000 and £15,000 up to £20,000.</w:t>
      </w:r>
    </w:p>
    <w:p w14:paraId="51435208" w14:textId="53CFB419" w:rsidR="00EC7619" w:rsidRPr="00066AFD" w:rsidRDefault="00066AFD" w:rsidP="006B2986">
      <w:pPr>
        <w:rPr>
          <w:b/>
          <w:bCs/>
        </w:rPr>
      </w:pPr>
      <w:r>
        <w:rPr>
          <w:b/>
          <w:bCs/>
        </w:rPr>
        <w:t xml:space="preserve">Figure 2: </w:t>
      </w:r>
      <w:r w:rsidR="003D725E">
        <w:rPr>
          <w:b/>
          <w:bCs/>
        </w:rPr>
        <w:t xml:space="preserve">Trend in the percentage of respondents </w:t>
      </w:r>
      <w:r w:rsidR="00624EC1">
        <w:rPr>
          <w:b/>
          <w:bCs/>
        </w:rPr>
        <w:t>reporting</w:t>
      </w:r>
      <w:r w:rsidR="003D725E">
        <w:rPr>
          <w:b/>
          <w:bCs/>
        </w:rPr>
        <w:t xml:space="preserve"> low life satisfaction (score 0-4), </w:t>
      </w:r>
      <w:r w:rsidR="00624EC1">
        <w:rPr>
          <w:b/>
          <w:bCs/>
        </w:rPr>
        <w:t xml:space="preserve">three-month rolling average, by annual income (£), </w:t>
      </w:r>
      <w:r w:rsidR="003D725E">
        <w:rPr>
          <w:b/>
          <w:bCs/>
        </w:rPr>
        <w:t xml:space="preserve">England </w:t>
      </w:r>
    </w:p>
    <w:p w14:paraId="03B8A28A" w14:textId="3FE1EE94" w:rsidR="00066AFD" w:rsidRDefault="00066AFD" w:rsidP="006B2986">
      <w:pPr>
        <w:rPr>
          <w:b/>
          <w:bCs/>
        </w:rPr>
      </w:pPr>
      <w:r>
        <w:rPr>
          <w:b/>
          <w:bCs/>
          <w:noProof/>
        </w:rPr>
        <w:drawing>
          <wp:inline distT="0" distB="0" distL="0" distR="0" wp14:anchorId="1AA03F6E" wp14:editId="4148C079">
            <wp:extent cx="5731510" cy="2958465"/>
            <wp:effectExtent l="0" t="0" r="254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1510" cy="2958465"/>
                    </a:xfrm>
                    <a:prstGeom prst="rect">
                      <a:avLst/>
                    </a:prstGeom>
                  </pic:spPr>
                </pic:pic>
              </a:graphicData>
            </a:graphic>
          </wp:inline>
        </w:drawing>
      </w:r>
    </w:p>
    <w:p w14:paraId="71994828" w14:textId="77777777" w:rsidR="0073041E" w:rsidRPr="007C4CDD" w:rsidRDefault="0073041E" w:rsidP="0073041E">
      <w:pPr>
        <w:rPr>
          <w:i/>
          <w:iCs/>
        </w:rPr>
      </w:pPr>
      <w:r w:rsidRPr="007C4CDD">
        <w:rPr>
          <w:i/>
          <w:iCs/>
          <w:shd w:val="clear" w:color="auto" w:fill="FFFFFF"/>
        </w:rPr>
        <w:t>Source: OHID analysis of Opinions and Lifestyle Survey data from Office for National Statistics, 2021</w:t>
      </w:r>
    </w:p>
    <w:p w14:paraId="66309A38" w14:textId="77777777" w:rsidR="0073041E" w:rsidRDefault="0073041E" w:rsidP="006B2986"/>
    <w:p w14:paraId="338B4F24" w14:textId="224EE1C0" w:rsidR="00377D76" w:rsidRDefault="00377D76" w:rsidP="006B2986">
      <w:r>
        <w:t xml:space="preserve">During </w:t>
      </w:r>
      <w:r w:rsidRPr="00377D76">
        <w:t>2020 and 2021, respondents reported significantly higher percentages of anxiety than in 2019</w:t>
      </w:r>
      <w:r w:rsidR="003526F2">
        <w:t xml:space="preserve"> (Figure 3)</w:t>
      </w:r>
      <w:r w:rsidR="001358EB">
        <w:t xml:space="preserve">. Figure </w:t>
      </w:r>
      <w:r w:rsidR="003526F2">
        <w:t>4</w:t>
      </w:r>
      <w:r w:rsidR="001358EB">
        <w:t xml:space="preserve"> shows that i</w:t>
      </w:r>
      <w:r w:rsidRPr="00377D76">
        <w:t>n the three-month period to 14 February 2021, 46% of unemployed respondents had high anxiety, significantly higher than those who were economically inactive (37%) and employed/</w:t>
      </w:r>
      <w:r w:rsidR="003526F2">
        <w:t>self-</w:t>
      </w:r>
      <w:r w:rsidRPr="00377D76">
        <w:t>employed (35%). The latest data to 26 December 2021 show that those who are unemployed have statistically similar percentages of respondents with high anxiety (39%) compared with those who are economically inactive (34%)</w:t>
      </w:r>
      <w:r w:rsidR="003526F2">
        <w:t xml:space="preserve"> and employed/self-employed (32%)</w:t>
      </w:r>
      <w:r w:rsidRPr="00377D76">
        <w:t>.</w:t>
      </w:r>
      <w:r>
        <w:t xml:space="preserve"> </w:t>
      </w:r>
    </w:p>
    <w:p w14:paraId="5F6103FA" w14:textId="77777777" w:rsidR="00F82937" w:rsidRDefault="00F82937" w:rsidP="006B2986">
      <w:pPr>
        <w:rPr>
          <w:b/>
          <w:bCs/>
        </w:rPr>
      </w:pPr>
    </w:p>
    <w:p w14:paraId="3530BEBD" w14:textId="77777777" w:rsidR="00F82937" w:rsidRDefault="00F82937" w:rsidP="006B2986">
      <w:pPr>
        <w:rPr>
          <w:b/>
          <w:bCs/>
        </w:rPr>
      </w:pPr>
    </w:p>
    <w:p w14:paraId="14D24513" w14:textId="77777777" w:rsidR="00F82937" w:rsidRDefault="00F82937" w:rsidP="006B2986">
      <w:pPr>
        <w:rPr>
          <w:b/>
          <w:bCs/>
        </w:rPr>
      </w:pPr>
    </w:p>
    <w:p w14:paraId="517B0DED" w14:textId="77777777" w:rsidR="00F82937" w:rsidRDefault="00F82937" w:rsidP="006B2986">
      <w:pPr>
        <w:rPr>
          <w:b/>
          <w:bCs/>
        </w:rPr>
      </w:pPr>
    </w:p>
    <w:p w14:paraId="2D3458F7" w14:textId="77777777" w:rsidR="00F82937" w:rsidRDefault="00F82937" w:rsidP="006B2986">
      <w:pPr>
        <w:rPr>
          <w:b/>
          <w:bCs/>
        </w:rPr>
      </w:pPr>
    </w:p>
    <w:p w14:paraId="2E4D11A5" w14:textId="77777777" w:rsidR="00F82937" w:rsidRDefault="00F82937" w:rsidP="006B2986">
      <w:pPr>
        <w:rPr>
          <w:b/>
          <w:bCs/>
        </w:rPr>
      </w:pPr>
    </w:p>
    <w:p w14:paraId="1C4A0C6A" w14:textId="4C45D6C5" w:rsidR="003526F2" w:rsidRDefault="003526F2" w:rsidP="006B2986">
      <w:r w:rsidRPr="005E55D0">
        <w:rPr>
          <w:b/>
          <w:bCs/>
        </w:rPr>
        <w:lastRenderedPageBreak/>
        <w:t>Figure 3:</w:t>
      </w:r>
      <w:r>
        <w:t xml:space="preserve"> </w:t>
      </w:r>
      <w:r>
        <w:rPr>
          <w:b/>
          <w:bCs/>
        </w:rPr>
        <w:t>Trend in the percentage of respondents reporting high anxiety (score 6-10), three-month rolling average, England, June 2020 to December 2021</w:t>
      </w:r>
    </w:p>
    <w:p w14:paraId="4A16CD58" w14:textId="0C155B64" w:rsidR="003526F2" w:rsidRPr="00377D76" w:rsidRDefault="003526F2" w:rsidP="006B2986">
      <w:r>
        <w:rPr>
          <w:noProof/>
        </w:rPr>
        <w:drawing>
          <wp:inline distT="0" distB="0" distL="0" distR="0" wp14:anchorId="2A5FAFD2" wp14:editId="3B03EB79">
            <wp:extent cx="5731510" cy="2453005"/>
            <wp:effectExtent l="0" t="0" r="2540" b="4445"/>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2453005"/>
                    </a:xfrm>
                    <a:prstGeom prst="rect">
                      <a:avLst/>
                    </a:prstGeom>
                  </pic:spPr>
                </pic:pic>
              </a:graphicData>
            </a:graphic>
          </wp:inline>
        </w:drawing>
      </w:r>
    </w:p>
    <w:p w14:paraId="55C371F0" w14:textId="2BC197EE" w:rsidR="0073041E" w:rsidRPr="005E55D0" w:rsidRDefault="0073041E" w:rsidP="006B2986">
      <w:pPr>
        <w:rPr>
          <w:i/>
          <w:iCs/>
        </w:rPr>
      </w:pPr>
      <w:r w:rsidRPr="007C4CDD">
        <w:rPr>
          <w:i/>
          <w:iCs/>
          <w:shd w:val="clear" w:color="auto" w:fill="FFFFFF"/>
        </w:rPr>
        <w:t>Source: OHID analysis of Opinions and Lifestyle Survey data from Office for National Statistics, 2021</w:t>
      </w:r>
    </w:p>
    <w:p w14:paraId="598A6B8C" w14:textId="623CFC8B" w:rsidR="003D725E" w:rsidRDefault="003D725E" w:rsidP="006B2986">
      <w:pPr>
        <w:rPr>
          <w:b/>
          <w:bCs/>
        </w:rPr>
      </w:pPr>
      <w:r>
        <w:rPr>
          <w:b/>
          <w:bCs/>
        </w:rPr>
        <w:t xml:space="preserve">Figure </w:t>
      </w:r>
      <w:r w:rsidR="003526F2">
        <w:rPr>
          <w:b/>
          <w:bCs/>
        </w:rPr>
        <w:t>4</w:t>
      </w:r>
      <w:r>
        <w:rPr>
          <w:b/>
          <w:bCs/>
        </w:rPr>
        <w:t>: Trend in the three-month rolling average percentage of respondents to the Opinions and Lifestyle Survey with high anxiety (score 6-10), in England by economic activity</w:t>
      </w:r>
    </w:p>
    <w:p w14:paraId="3E637750" w14:textId="373BD06B" w:rsidR="003D725E" w:rsidRDefault="003D725E" w:rsidP="006B2986">
      <w:pPr>
        <w:rPr>
          <w:b/>
          <w:bCs/>
        </w:rPr>
      </w:pPr>
      <w:r>
        <w:rPr>
          <w:b/>
          <w:bCs/>
          <w:noProof/>
        </w:rPr>
        <w:drawing>
          <wp:inline distT="0" distB="0" distL="0" distR="0" wp14:anchorId="425A596F" wp14:editId="2F7C6DCF">
            <wp:extent cx="5731510" cy="2921635"/>
            <wp:effectExtent l="0" t="0" r="254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2921635"/>
                    </a:xfrm>
                    <a:prstGeom prst="rect">
                      <a:avLst/>
                    </a:prstGeom>
                  </pic:spPr>
                </pic:pic>
              </a:graphicData>
            </a:graphic>
          </wp:inline>
        </w:drawing>
      </w:r>
    </w:p>
    <w:p w14:paraId="1E8BCD01" w14:textId="7BA97998" w:rsidR="0073041E" w:rsidRPr="005E55D0" w:rsidRDefault="0073041E" w:rsidP="006B2986">
      <w:pPr>
        <w:rPr>
          <w:i/>
          <w:iCs/>
        </w:rPr>
      </w:pPr>
      <w:r w:rsidRPr="007C4CDD">
        <w:rPr>
          <w:i/>
          <w:iCs/>
          <w:shd w:val="clear" w:color="auto" w:fill="FFFFFF"/>
        </w:rPr>
        <w:t>Source: OHID analysis of Opinions and Lifestyle Survey data from Office for National Statistics, 2021</w:t>
      </w:r>
    </w:p>
    <w:p w14:paraId="767F7AB1" w14:textId="77777777" w:rsidR="00F82937" w:rsidRDefault="00F82937" w:rsidP="006B2986">
      <w:pPr>
        <w:rPr>
          <w:b/>
          <w:bCs/>
        </w:rPr>
      </w:pPr>
    </w:p>
    <w:p w14:paraId="047A13C0" w14:textId="77777777" w:rsidR="00F82937" w:rsidRDefault="00F82937" w:rsidP="006B2986">
      <w:pPr>
        <w:rPr>
          <w:b/>
          <w:bCs/>
        </w:rPr>
      </w:pPr>
    </w:p>
    <w:p w14:paraId="72D3F90A" w14:textId="77777777" w:rsidR="00F82937" w:rsidRDefault="00F82937" w:rsidP="006B2986">
      <w:pPr>
        <w:rPr>
          <w:b/>
          <w:bCs/>
        </w:rPr>
      </w:pPr>
    </w:p>
    <w:p w14:paraId="0429EBF2" w14:textId="77777777" w:rsidR="00F82937" w:rsidRDefault="00F82937" w:rsidP="006B2986">
      <w:pPr>
        <w:rPr>
          <w:b/>
          <w:bCs/>
        </w:rPr>
      </w:pPr>
    </w:p>
    <w:p w14:paraId="303C2136" w14:textId="4905F236" w:rsidR="006D5B57" w:rsidRDefault="006D5B57" w:rsidP="006B2986">
      <w:pPr>
        <w:rPr>
          <w:b/>
          <w:bCs/>
        </w:rPr>
      </w:pPr>
      <w:r>
        <w:rPr>
          <w:b/>
          <w:bCs/>
        </w:rPr>
        <w:lastRenderedPageBreak/>
        <w:t>Employment and Income</w:t>
      </w:r>
    </w:p>
    <w:p w14:paraId="0C5C2E17" w14:textId="58B15C0D" w:rsidR="006D5B57" w:rsidRPr="006D5B57" w:rsidRDefault="006D5B57" w:rsidP="006B2986">
      <w:r>
        <w:t xml:space="preserve">After remaining at a fairly constant level </w:t>
      </w:r>
      <w:r w:rsidR="00B06B8D">
        <w:t xml:space="preserve">throughout 2018 and 2019, the number of job vacancies in the UK </w:t>
      </w:r>
      <w:r w:rsidR="00E143DA">
        <w:t xml:space="preserve">more than halved </w:t>
      </w:r>
      <w:r w:rsidR="00B06B8D">
        <w:t>from 803,000</w:t>
      </w:r>
      <w:r w:rsidR="001358EB">
        <w:t xml:space="preserve"> vacancies</w:t>
      </w:r>
      <w:r w:rsidR="00B06B8D">
        <w:t xml:space="preserve"> in the November 2019 to January 2020 quarter, to 375,000 in May to July 2020 when the first lockdown was in place. The number of job vacancies has risen in each quarter since this low point, surpassing the pre-pandemic level and reaching 1,298,000 vacancies in the November 2021 to January 2022</w:t>
      </w:r>
      <w:r w:rsidR="004A1B20">
        <w:t xml:space="preserve"> </w:t>
      </w:r>
      <w:r w:rsidR="0086436F">
        <w:t xml:space="preserve">quarter </w:t>
      </w:r>
      <w:r w:rsidR="004A1B20">
        <w:t xml:space="preserve">(Figure </w:t>
      </w:r>
      <w:r w:rsidR="00284E5E">
        <w:t>5</w:t>
      </w:r>
      <w:r w:rsidR="004A1B20">
        <w:t>)</w:t>
      </w:r>
      <w:r w:rsidR="00B06B8D">
        <w:t xml:space="preserve">. </w:t>
      </w:r>
    </w:p>
    <w:p w14:paraId="1A13E5BE" w14:textId="27254CB8" w:rsidR="006D5B57" w:rsidRDefault="006D5B57" w:rsidP="006B2986">
      <w:pPr>
        <w:rPr>
          <w:b/>
          <w:bCs/>
        </w:rPr>
      </w:pPr>
      <w:r>
        <w:rPr>
          <w:b/>
          <w:bCs/>
        </w:rPr>
        <w:t xml:space="preserve">Figure </w:t>
      </w:r>
      <w:r w:rsidR="00284E5E">
        <w:rPr>
          <w:b/>
          <w:bCs/>
        </w:rPr>
        <w:t>5</w:t>
      </w:r>
      <w:r>
        <w:rPr>
          <w:b/>
          <w:bCs/>
        </w:rPr>
        <w:t>: Number of job vacancies in the UK (thousands), seasonally adjusted,</w:t>
      </w:r>
      <w:r w:rsidR="00DD6318">
        <w:rPr>
          <w:b/>
          <w:bCs/>
        </w:rPr>
        <w:t xml:space="preserve"> from</w:t>
      </w:r>
      <w:r>
        <w:rPr>
          <w:b/>
          <w:bCs/>
        </w:rPr>
        <w:t xml:space="preserve"> November 2017 to January 2022</w:t>
      </w:r>
    </w:p>
    <w:p w14:paraId="7E3756D7" w14:textId="5D2ACB55" w:rsidR="00B37D4D" w:rsidRDefault="006D5B57" w:rsidP="006B2986">
      <w:r>
        <w:rPr>
          <w:noProof/>
        </w:rPr>
        <w:drawing>
          <wp:inline distT="0" distB="0" distL="0" distR="0" wp14:anchorId="11C50E6D" wp14:editId="3EEA38A3">
            <wp:extent cx="5731510" cy="3312795"/>
            <wp:effectExtent l="0" t="0" r="2540" b="1905"/>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3312795"/>
                    </a:xfrm>
                    <a:prstGeom prst="rect">
                      <a:avLst/>
                    </a:prstGeom>
                  </pic:spPr>
                </pic:pic>
              </a:graphicData>
            </a:graphic>
          </wp:inline>
        </w:drawing>
      </w:r>
    </w:p>
    <w:p w14:paraId="4308989F" w14:textId="6BD59D5E" w:rsidR="0073041E" w:rsidRPr="005E55D0" w:rsidRDefault="0073041E" w:rsidP="006B2986">
      <w:pPr>
        <w:rPr>
          <w:i/>
          <w:iCs/>
        </w:rPr>
      </w:pPr>
      <w:r>
        <w:rPr>
          <w:i/>
          <w:iCs/>
        </w:rPr>
        <w:t>Source: Vacancy Survey, Office for National Statistics</w:t>
      </w:r>
    </w:p>
    <w:p w14:paraId="439B210C" w14:textId="5CFCFB32" w:rsidR="00DD6318" w:rsidRDefault="00300DE7" w:rsidP="006B2986">
      <w:r>
        <w:t xml:space="preserve">The redundancy rate in the UK </w:t>
      </w:r>
      <w:r w:rsidR="0086436F">
        <w:t>increased</w:t>
      </w:r>
      <w:r>
        <w:t xml:space="preserve"> from 4.8 per 1,000 employees in the quarter April to June 2020 to 12.9 per 1,000 employees in the quarter October to December 2020</w:t>
      </w:r>
      <w:r w:rsidR="00DF584F">
        <w:t xml:space="preserve"> (Figure </w:t>
      </w:r>
      <w:r w:rsidR="00284E5E">
        <w:t>6</w:t>
      </w:r>
      <w:r w:rsidR="00DF584F">
        <w:t>)</w:t>
      </w:r>
      <w:r>
        <w:t>. In the following quarters the rate decreased sharply,</w:t>
      </w:r>
      <w:r w:rsidR="00DF584F">
        <w:t xml:space="preserve"> returning to pre-pandemic levels in April to June 2021.</w:t>
      </w:r>
      <w:r>
        <w:t xml:space="preserve"> </w:t>
      </w:r>
      <w:r w:rsidR="00DF584F">
        <w:t>I</w:t>
      </w:r>
      <w:r>
        <w:t xml:space="preserve">n the most recent quarter, October to December 2021, the rate </w:t>
      </w:r>
      <w:r w:rsidR="00DF584F">
        <w:t xml:space="preserve">decreased </w:t>
      </w:r>
      <w:r w:rsidR="00DD6318">
        <w:t>to 2.6 per 1,000 employees which is</w:t>
      </w:r>
      <w:r>
        <w:t xml:space="preserve"> below pre-pandemic levels</w:t>
      </w:r>
      <w:r w:rsidR="00DF584F">
        <w:t>.</w:t>
      </w:r>
      <w:r w:rsidR="00DD6318">
        <w:t xml:space="preserve"> The redundancy rates for males and females follow similar patterns, the rate </w:t>
      </w:r>
      <w:r w:rsidR="00DA233F">
        <w:t>for</w:t>
      </w:r>
      <w:r w:rsidR="00DD6318">
        <w:t xml:space="preserve"> females remaining slightly below males in all quarters </w:t>
      </w:r>
      <w:r w:rsidR="00DA233F">
        <w:t xml:space="preserve">between 2018 and 2021 </w:t>
      </w:r>
      <w:r w:rsidR="00DD6318">
        <w:t xml:space="preserve">except July to September 2021. </w:t>
      </w:r>
    </w:p>
    <w:p w14:paraId="4B853CAF" w14:textId="77777777" w:rsidR="00F82937" w:rsidRDefault="00F82937" w:rsidP="006B2986">
      <w:pPr>
        <w:rPr>
          <w:b/>
          <w:bCs/>
        </w:rPr>
      </w:pPr>
    </w:p>
    <w:p w14:paraId="3125A166" w14:textId="77777777" w:rsidR="00F82937" w:rsidRDefault="00F82937" w:rsidP="006B2986">
      <w:pPr>
        <w:rPr>
          <w:b/>
          <w:bCs/>
        </w:rPr>
      </w:pPr>
    </w:p>
    <w:p w14:paraId="1BD6A8A8" w14:textId="77777777" w:rsidR="00F82937" w:rsidRDefault="00F82937" w:rsidP="006B2986">
      <w:pPr>
        <w:rPr>
          <w:b/>
          <w:bCs/>
        </w:rPr>
      </w:pPr>
    </w:p>
    <w:p w14:paraId="440AFC87" w14:textId="77777777" w:rsidR="00F82937" w:rsidRDefault="00F82937" w:rsidP="006B2986">
      <w:pPr>
        <w:rPr>
          <w:b/>
          <w:bCs/>
        </w:rPr>
      </w:pPr>
    </w:p>
    <w:p w14:paraId="46EDEEA3" w14:textId="1510E417" w:rsidR="00D240A4" w:rsidRPr="00B37D4D" w:rsidRDefault="00B37D4D" w:rsidP="006B2986">
      <w:pPr>
        <w:rPr>
          <w:b/>
          <w:bCs/>
        </w:rPr>
      </w:pPr>
      <w:r>
        <w:rPr>
          <w:b/>
          <w:bCs/>
        </w:rPr>
        <w:lastRenderedPageBreak/>
        <w:t xml:space="preserve">Figure </w:t>
      </w:r>
      <w:r w:rsidR="00284E5E">
        <w:rPr>
          <w:b/>
          <w:bCs/>
        </w:rPr>
        <w:t>6</w:t>
      </w:r>
      <w:r>
        <w:rPr>
          <w:b/>
          <w:bCs/>
        </w:rPr>
        <w:t xml:space="preserve">: </w:t>
      </w:r>
      <w:r w:rsidR="00300DE7">
        <w:rPr>
          <w:b/>
          <w:bCs/>
        </w:rPr>
        <w:t xml:space="preserve">Redundancy rate </w:t>
      </w:r>
      <w:r w:rsidR="00DF584F">
        <w:rPr>
          <w:b/>
          <w:bCs/>
        </w:rPr>
        <w:t>(</w:t>
      </w:r>
      <w:r w:rsidR="00300DE7">
        <w:rPr>
          <w:b/>
          <w:bCs/>
        </w:rPr>
        <w:t xml:space="preserve">ratio of </w:t>
      </w:r>
      <w:r w:rsidR="005048C9">
        <w:rPr>
          <w:b/>
          <w:bCs/>
        </w:rPr>
        <w:t>the number of redundancies in the three months prior to interview</w:t>
      </w:r>
      <w:r w:rsidR="00300DE7">
        <w:rPr>
          <w:b/>
          <w:bCs/>
        </w:rPr>
        <w:t xml:space="preserve"> to the number of employees</w:t>
      </w:r>
      <w:r w:rsidR="00DF584F">
        <w:rPr>
          <w:b/>
          <w:bCs/>
        </w:rPr>
        <w:t>)</w:t>
      </w:r>
      <w:r w:rsidR="00300DE7">
        <w:rPr>
          <w:b/>
          <w:bCs/>
        </w:rPr>
        <w:t xml:space="preserve"> in the UK, by sex</w:t>
      </w:r>
      <w:r w:rsidR="00DD6318">
        <w:rPr>
          <w:b/>
          <w:bCs/>
        </w:rPr>
        <w:t>, from January 2018 to December 2021</w:t>
      </w:r>
    </w:p>
    <w:p w14:paraId="37118858" w14:textId="7D030319" w:rsidR="00E143DA" w:rsidRDefault="00300DE7" w:rsidP="006B2986">
      <w:r>
        <w:rPr>
          <w:noProof/>
        </w:rPr>
        <w:drawing>
          <wp:inline distT="0" distB="0" distL="0" distR="0" wp14:anchorId="1A17599B" wp14:editId="37FDC1AE">
            <wp:extent cx="5731510" cy="3232785"/>
            <wp:effectExtent l="0" t="0" r="2540" b="5715"/>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3232785"/>
                    </a:xfrm>
                    <a:prstGeom prst="rect">
                      <a:avLst/>
                    </a:prstGeom>
                  </pic:spPr>
                </pic:pic>
              </a:graphicData>
            </a:graphic>
          </wp:inline>
        </w:drawing>
      </w:r>
    </w:p>
    <w:p w14:paraId="779AE245" w14:textId="12C81E38" w:rsidR="0073041E" w:rsidRPr="005E55D0" w:rsidRDefault="0073041E" w:rsidP="006B2986">
      <w:pPr>
        <w:rPr>
          <w:i/>
          <w:iCs/>
        </w:rPr>
      </w:pPr>
      <w:r>
        <w:rPr>
          <w:i/>
          <w:iCs/>
        </w:rPr>
        <w:t>Source: Labour Force Survey, Office for National Statistics</w:t>
      </w:r>
    </w:p>
    <w:sectPr w:rsidR="0073041E" w:rsidRPr="005E5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86"/>
    <w:rsid w:val="00004440"/>
    <w:rsid w:val="000071C6"/>
    <w:rsid w:val="00014FF6"/>
    <w:rsid w:val="00035900"/>
    <w:rsid w:val="00065E36"/>
    <w:rsid w:val="00066AFD"/>
    <w:rsid w:val="000B380D"/>
    <w:rsid w:val="000D2CC3"/>
    <w:rsid w:val="000E7854"/>
    <w:rsid w:val="000F5D62"/>
    <w:rsid w:val="001358EB"/>
    <w:rsid w:val="00142609"/>
    <w:rsid w:val="00150FC7"/>
    <w:rsid w:val="00162E1E"/>
    <w:rsid w:val="00166107"/>
    <w:rsid w:val="00182CAE"/>
    <w:rsid w:val="001A6F8E"/>
    <w:rsid w:val="001B15D0"/>
    <w:rsid w:val="00202B86"/>
    <w:rsid w:val="00251892"/>
    <w:rsid w:val="00284E5E"/>
    <w:rsid w:val="00290107"/>
    <w:rsid w:val="002A650A"/>
    <w:rsid w:val="002B1157"/>
    <w:rsid w:val="002C5210"/>
    <w:rsid w:val="002C6612"/>
    <w:rsid w:val="002F599B"/>
    <w:rsid w:val="00300DE7"/>
    <w:rsid w:val="00331BE6"/>
    <w:rsid w:val="003526F2"/>
    <w:rsid w:val="00357D0E"/>
    <w:rsid w:val="003616C5"/>
    <w:rsid w:val="00377D76"/>
    <w:rsid w:val="00381AA8"/>
    <w:rsid w:val="00384160"/>
    <w:rsid w:val="003C2F85"/>
    <w:rsid w:val="003D725E"/>
    <w:rsid w:val="00406E73"/>
    <w:rsid w:val="004131E8"/>
    <w:rsid w:val="00413490"/>
    <w:rsid w:val="004211F2"/>
    <w:rsid w:val="004576C8"/>
    <w:rsid w:val="00490C88"/>
    <w:rsid w:val="004A1B20"/>
    <w:rsid w:val="004A1ED5"/>
    <w:rsid w:val="004C4E29"/>
    <w:rsid w:val="004E4F20"/>
    <w:rsid w:val="005048C9"/>
    <w:rsid w:val="00520C1E"/>
    <w:rsid w:val="005370D0"/>
    <w:rsid w:val="00540080"/>
    <w:rsid w:val="0054102D"/>
    <w:rsid w:val="005614B7"/>
    <w:rsid w:val="00582379"/>
    <w:rsid w:val="00585A57"/>
    <w:rsid w:val="0059366D"/>
    <w:rsid w:val="005D1DC8"/>
    <w:rsid w:val="005E466F"/>
    <w:rsid w:val="005E55D0"/>
    <w:rsid w:val="00624EC1"/>
    <w:rsid w:val="00640CFE"/>
    <w:rsid w:val="00676387"/>
    <w:rsid w:val="00677AEC"/>
    <w:rsid w:val="0069361B"/>
    <w:rsid w:val="006B2986"/>
    <w:rsid w:val="006C1EBF"/>
    <w:rsid w:val="006C676A"/>
    <w:rsid w:val="006D4690"/>
    <w:rsid w:val="006D5B57"/>
    <w:rsid w:val="006F333D"/>
    <w:rsid w:val="006F3800"/>
    <w:rsid w:val="00714611"/>
    <w:rsid w:val="00720B57"/>
    <w:rsid w:val="00722516"/>
    <w:rsid w:val="0072738F"/>
    <w:rsid w:val="0073041E"/>
    <w:rsid w:val="00731A8D"/>
    <w:rsid w:val="007335B7"/>
    <w:rsid w:val="00775F25"/>
    <w:rsid w:val="007A05A9"/>
    <w:rsid w:val="007C0BC4"/>
    <w:rsid w:val="007F3548"/>
    <w:rsid w:val="00820AFD"/>
    <w:rsid w:val="008529BB"/>
    <w:rsid w:val="00861E1F"/>
    <w:rsid w:val="0086436F"/>
    <w:rsid w:val="00872616"/>
    <w:rsid w:val="00897B64"/>
    <w:rsid w:val="008A062A"/>
    <w:rsid w:val="008C7E9F"/>
    <w:rsid w:val="009222E3"/>
    <w:rsid w:val="009325F9"/>
    <w:rsid w:val="0095258E"/>
    <w:rsid w:val="009717DA"/>
    <w:rsid w:val="00981E89"/>
    <w:rsid w:val="00994107"/>
    <w:rsid w:val="009A0588"/>
    <w:rsid w:val="009A43DE"/>
    <w:rsid w:val="009E4F31"/>
    <w:rsid w:val="00A35720"/>
    <w:rsid w:val="00A50DC2"/>
    <w:rsid w:val="00A6346C"/>
    <w:rsid w:val="00A646B5"/>
    <w:rsid w:val="00A65747"/>
    <w:rsid w:val="00A742A1"/>
    <w:rsid w:val="00AC2D17"/>
    <w:rsid w:val="00AC4AFD"/>
    <w:rsid w:val="00AD1FEB"/>
    <w:rsid w:val="00B06B8D"/>
    <w:rsid w:val="00B11E2C"/>
    <w:rsid w:val="00B37D4D"/>
    <w:rsid w:val="00B42F7C"/>
    <w:rsid w:val="00B80E6F"/>
    <w:rsid w:val="00BA6341"/>
    <w:rsid w:val="00BC2EA0"/>
    <w:rsid w:val="00BD7A7E"/>
    <w:rsid w:val="00BE0B82"/>
    <w:rsid w:val="00BF4F52"/>
    <w:rsid w:val="00C04D46"/>
    <w:rsid w:val="00C43445"/>
    <w:rsid w:val="00C64B9B"/>
    <w:rsid w:val="00C67FBD"/>
    <w:rsid w:val="00C86319"/>
    <w:rsid w:val="00C87344"/>
    <w:rsid w:val="00CA2C85"/>
    <w:rsid w:val="00CF11CF"/>
    <w:rsid w:val="00D0694F"/>
    <w:rsid w:val="00D2283B"/>
    <w:rsid w:val="00D240A4"/>
    <w:rsid w:val="00D3332A"/>
    <w:rsid w:val="00D81707"/>
    <w:rsid w:val="00D93C25"/>
    <w:rsid w:val="00D95BDA"/>
    <w:rsid w:val="00DA233F"/>
    <w:rsid w:val="00DB5BE4"/>
    <w:rsid w:val="00DD6318"/>
    <w:rsid w:val="00DF584F"/>
    <w:rsid w:val="00DF5B78"/>
    <w:rsid w:val="00E143DA"/>
    <w:rsid w:val="00E6686B"/>
    <w:rsid w:val="00E80CD0"/>
    <w:rsid w:val="00E97500"/>
    <w:rsid w:val="00EA7D7B"/>
    <w:rsid w:val="00EC7619"/>
    <w:rsid w:val="00EF7DEA"/>
    <w:rsid w:val="00F00FF1"/>
    <w:rsid w:val="00F1447B"/>
    <w:rsid w:val="00F15EDD"/>
    <w:rsid w:val="00F403A5"/>
    <w:rsid w:val="00F766AA"/>
    <w:rsid w:val="00F82937"/>
    <w:rsid w:val="00FA438B"/>
    <w:rsid w:val="00FB5BE0"/>
    <w:rsid w:val="00FB6A2D"/>
    <w:rsid w:val="00FD0C06"/>
    <w:rsid w:val="00FD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1283"/>
  <w15:chartTrackingRefBased/>
  <w15:docId w15:val="{3C463919-9301-4F11-AD05-E81BA91A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986"/>
    <w:rPr>
      <w:rFonts w:ascii="Arial" w:hAnsi="Arial" w:cs="Arial"/>
      <w:sz w:val="24"/>
      <w:szCs w:val="24"/>
    </w:rPr>
  </w:style>
  <w:style w:type="paragraph" w:styleId="Heading1">
    <w:name w:val="heading 1"/>
    <w:basedOn w:val="Normal"/>
    <w:next w:val="BodyText"/>
    <w:link w:val="Heading1Char"/>
    <w:uiPriority w:val="9"/>
    <w:qFormat/>
    <w:rsid w:val="006B2986"/>
    <w:pPr>
      <w:keepNext/>
      <w:keepLines/>
      <w:spacing w:before="480" w:after="0" w:line="240" w:lineRule="auto"/>
      <w:outlineLvl w:val="0"/>
    </w:pPr>
    <w:rPr>
      <w:rFonts w:asciiTheme="majorHAnsi" w:eastAsiaTheme="majorEastAsia" w:hAnsiTheme="majorHAnsi" w:cstheme="majorBidi"/>
      <w:b/>
      <w:bCs/>
      <w:color w:val="4472C4" w:themeColor="accent1"/>
      <w:sz w:val="32"/>
      <w:szCs w:val="32"/>
    </w:rPr>
  </w:style>
  <w:style w:type="paragraph" w:styleId="Heading3">
    <w:name w:val="heading 3"/>
    <w:basedOn w:val="Normal"/>
    <w:next w:val="Normal"/>
    <w:link w:val="Heading3Char"/>
    <w:uiPriority w:val="9"/>
    <w:unhideWhenUsed/>
    <w:qFormat/>
    <w:rsid w:val="006B298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986"/>
    <w:rPr>
      <w:rFonts w:ascii="Segoe UI" w:hAnsi="Segoe UI" w:cs="Segoe UI"/>
      <w:sz w:val="18"/>
      <w:szCs w:val="18"/>
    </w:rPr>
  </w:style>
  <w:style w:type="character" w:customStyle="1" w:styleId="Heading1Char">
    <w:name w:val="Heading 1 Char"/>
    <w:basedOn w:val="DefaultParagraphFont"/>
    <w:link w:val="Heading1"/>
    <w:uiPriority w:val="9"/>
    <w:rsid w:val="006B2986"/>
    <w:rPr>
      <w:rFonts w:asciiTheme="majorHAnsi" w:eastAsiaTheme="majorEastAsia" w:hAnsiTheme="majorHAnsi" w:cstheme="majorBidi"/>
      <w:b/>
      <w:bCs/>
      <w:color w:val="4472C4" w:themeColor="accent1"/>
      <w:sz w:val="32"/>
      <w:szCs w:val="32"/>
    </w:rPr>
  </w:style>
  <w:style w:type="character" w:customStyle="1" w:styleId="Heading3Char">
    <w:name w:val="Heading 3 Char"/>
    <w:basedOn w:val="DefaultParagraphFont"/>
    <w:link w:val="Heading3"/>
    <w:uiPriority w:val="9"/>
    <w:rsid w:val="006B2986"/>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6B2986"/>
    <w:pPr>
      <w:spacing w:after="120"/>
    </w:pPr>
  </w:style>
  <w:style w:type="character" w:customStyle="1" w:styleId="BodyTextChar">
    <w:name w:val="Body Text Char"/>
    <w:basedOn w:val="DefaultParagraphFont"/>
    <w:link w:val="BodyText"/>
    <w:uiPriority w:val="99"/>
    <w:rsid w:val="006B2986"/>
    <w:rPr>
      <w:rFonts w:ascii="Arial" w:hAnsi="Arial" w:cs="Arial"/>
      <w:sz w:val="24"/>
      <w:szCs w:val="24"/>
    </w:rPr>
  </w:style>
  <w:style w:type="character" w:styleId="CommentReference">
    <w:name w:val="annotation reference"/>
    <w:basedOn w:val="DefaultParagraphFont"/>
    <w:uiPriority w:val="99"/>
    <w:semiHidden/>
    <w:unhideWhenUsed/>
    <w:rsid w:val="006B2986"/>
    <w:rPr>
      <w:sz w:val="16"/>
      <w:szCs w:val="16"/>
    </w:rPr>
  </w:style>
  <w:style w:type="paragraph" w:styleId="CommentText">
    <w:name w:val="annotation text"/>
    <w:basedOn w:val="Normal"/>
    <w:link w:val="CommentTextChar"/>
    <w:uiPriority w:val="99"/>
    <w:unhideWhenUsed/>
    <w:rsid w:val="006B2986"/>
    <w:pPr>
      <w:spacing w:line="240" w:lineRule="auto"/>
    </w:pPr>
    <w:rPr>
      <w:sz w:val="20"/>
      <w:szCs w:val="20"/>
    </w:rPr>
  </w:style>
  <w:style w:type="character" w:customStyle="1" w:styleId="CommentTextChar">
    <w:name w:val="Comment Text Char"/>
    <w:basedOn w:val="DefaultParagraphFont"/>
    <w:link w:val="CommentText"/>
    <w:uiPriority w:val="99"/>
    <w:rsid w:val="006B298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646B5"/>
    <w:rPr>
      <w:b/>
      <w:bCs/>
    </w:rPr>
  </w:style>
  <w:style w:type="character" w:customStyle="1" w:styleId="CommentSubjectChar">
    <w:name w:val="Comment Subject Char"/>
    <w:basedOn w:val="CommentTextChar"/>
    <w:link w:val="CommentSubject"/>
    <w:uiPriority w:val="99"/>
    <w:semiHidden/>
    <w:rsid w:val="00A646B5"/>
    <w:rPr>
      <w:rFonts w:ascii="Arial" w:hAnsi="Arial" w:cs="Arial"/>
      <w:b/>
      <w:bCs/>
      <w:sz w:val="20"/>
      <w:szCs w:val="20"/>
    </w:rPr>
  </w:style>
  <w:style w:type="paragraph" w:styleId="Revision">
    <w:name w:val="Revision"/>
    <w:hidden/>
    <w:uiPriority w:val="99"/>
    <w:semiHidden/>
    <w:rsid w:val="00C67FBD"/>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89987">
      <w:bodyDiv w:val="1"/>
      <w:marLeft w:val="0"/>
      <w:marRight w:val="0"/>
      <w:marTop w:val="0"/>
      <w:marBottom w:val="0"/>
      <w:divBdr>
        <w:top w:val="none" w:sz="0" w:space="0" w:color="auto"/>
        <w:left w:val="none" w:sz="0" w:space="0" w:color="auto"/>
        <w:bottom w:val="none" w:sz="0" w:space="0" w:color="auto"/>
        <w:right w:val="none" w:sz="0" w:space="0" w:color="auto"/>
      </w:divBdr>
    </w:div>
    <w:div w:id="166307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4BDD5-9B6F-4E7F-9CC2-71D9F48D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Hutchinson</dc:creator>
  <cp:keywords/>
  <dc:description/>
  <cp:lastModifiedBy>Kate Hutchinson</cp:lastModifiedBy>
  <cp:revision>2</cp:revision>
  <dcterms:created xsi:type="dcterms:W3CDTF">2022-03-16T09:05:00Z</dcterms:created>
  <dcterms:modified xsi:type="dcterms:W3CDTF">2022-03-16T09:05:00Z</dcterms:modified>
</cp:coreProperties>
</file>