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259D" w14:textId="30E5BBBE" w:rsidR="006B2986" w:rsidRPr="005C57E3" w:rsidRDefault="006B2986" w:rsidP="006B2986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5C57E3">
        <w:rPr>
          <w:rFonts w:ascii="Arial" w:hAnsi="Arial" w:cs="Arial"/>
          <w:color w:val="auto"/>
          <w:sz w:val="24"/>
          <w:szCs w:val="24"/>
        </w:rPr>
        <w:t xml:space="preserve">Wider Impacts of COVID-19 on Health (WICH) 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summary, </w:t>
      </w:r>
      <w:r w:rsidR="00EA7D7B">
        <w:rPr>
          <w:rFonts w:ascii="Arial" w:hAnsi="Arial" w:cs="Arial"/>
          <w:b w:val="0"/>
          <w:bCs w:val="0"/>
          <w:color w:val="auto"/>
          <w:sz w:val="24"/>
          <w:szCs w:val="24"/>
        </w:rPr>
        <w:t>17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EA7D7B">
        <w:rPr>
          <w:rFonts w:ascii="Arial" w:hAnsi="Arial" w:cs="Arial"/>
          <w:b w:val="0"/>
          <w:bCs w:val="0"/>
          <w:color w:val="auto"/>
          <w:sz w:val="24"/>
          <w:szCs w:val="24"/>
        </w:rPr>
        <w:t>February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202</w:t>
      </w:r>
      <w:r w:rsidR="00065E36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</w:p>
    <w:p w14:paraId="1F8BCE21" w14:textId="77777777" w:rsidR="006B2986" w:rsidRPr="005C57E3" w:rsidRDefault="006B2986" w:rsidP="006B2986"/>
    <w:p w14:paraId="516F9683" w14:textId="77777777" w:rsidR="006B2986" w:rsidRPr="005C57E3" w:rsidRDefault="006B2986" w:rsidP="006B2986">
      <w:pPr>
        <w:pStyle w:val="Heading3"/>
        <w:rPr>
          <w:rFonts w:ascii="Arial" w:hAnsi="Arial" w:cs="Arial"/>
          <w:b/>
          <w:bCs/>
          <w:color w:val="auto"/>
        </w:rPr>
      </w:pPr>
      <w:r w:rsidRPr="005C57E3">
        <w:rPr>
          <w:rFonts w:ascii="Arial" w:hAnsi="Arial" w:cs="Arial"/>
          <w:b/>
          <w:bCs/>
          <w:color w:val="auto"/>
        </w:rPr>
        <w:t>Overview</w:t>
      </w:r>
    </w:p>
    <w:p w14:paraId="40EE0737" w14:textId="4FD0BE0F" w:rsidR="006B2986" w:rsidRPr="00230802" w:rsidRDefault="006B2986" w:rsidP="006B2986">
      <w:pPr>
        <w:pStyle w:val="BodyText"/>
      </w:pPr>
      <w:r>
        <w:t xml:space="preserve">This summary provides the main messages for metrics updated </w:t>
      </w:r>
      <w:r w:rsidR="009A0588">
        <w:t>in this release</w:t>
      </w:r>
      <w:r>
        <w:t xml:space="preserve">. </w:t>
      </w:r>
    </w:p>
    <w:p w14:paraId="6BA3CAE0" w14:textId="77777777" w:rsidR="00585A57" w:rsidRDefault="00585A57" w:rsidP="006B2986">
      <w:pPr>
        <w:rPr>
          <w:rFonts w:eastAsiaTheme="majorEastAsia"/>
          <w:b/>
          <w:bCs/>
        </w:rPr>
      </w:pPr>
    </w:p>
    <w:p w14:paraId="0697AAD7" w14:textId="4FA442CE" w:rsidR="006B2986" w:rsidRPr="005C57E3" w:rsidRDefault="006B2986" w:rsidP="006B2986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Main messages</w:t>
      </w:r>
    </w:p>
    <w:p w14:paraId="5A8E1278" w14:textId="7105607B" w:rsidR="00406E73" w:rsidRDefault="00406E73" w:rsidP="00406E73">
      <w:pPr>
        <w:rPr>
          <w:b/>
          <w:bCs/>
        </w:rPr>
      </w:pPr>
      <w:r>
        <w:rPr>
          <w:b/>
          <w:bCs/>
        </w:rPr>
        <w:t xml:space="preserve">New metric: </w:t>
      </w:r>
      <w:r w:rsidR="00EA7D7B">
        <w:rPr>
          <w:b/>
          <w:bCs/>
        </w:rPr>
        <w:t>Child physical activity</w:t>
      </w:r>
    </w:p>
    <w:p w14:paraId="7C783D67" w14:textId="3CFC7705" w:rsidR="004211F2" w:rsidRDefault="004211F2" w:rsidP="002A650A">
      <w:r>
        <w:t>The first national lockdown</w:t>
      </w:r>
      <w:r w:rsidR="00384160">
        <w:t xml:space="preserve"> </w:t>
      </w:r>
      <w:r>
        <w:t>saw school sites close to most pupils</w:t>
      </w:r>
      <w:r w:rsidR="0072738F">
        <w:t xml:space="preserve"> and the ‘stay at home’ rule put in place </w:t>
      </w:r>
      <w:r>
        <w:t xml:space="preserve">for much of the Summer 2020 term. </w:t>
      </w:r>
      <w:r w:rsidR="00384160">
        <w:t>The percentage of children and young people who were active in this term was 2.3% lower than</w:t>
      </w:r>
      <w:r w:rsidR="0072738F">
        <w:t xml:space="preserve"> in the Summer 2019 term. </w:t>
      </w:r>
      <w:r w:rsidR="00384160">
        <w:t xml:space="preserve"> </w:t>
      </w:r>
    </w:p>
    <w:p w14:paraId="265AEB5B" w14:textId="7EC97FFE" w:rsidR="002A650A" w:rsidRDefault="002A650A" w:rsidP="002A650A">
      <w:r>
        <w:t>The Autumn 2020</w:t>
      </w:r>
      <w:r w:rsidR="00FB5BE0">
        <w:t xml:space="preserve"> </w:t>
      </w:r>
      <w:r>
        <w:t xml:space="preserve">term saw school sites reopen to all pupils, however, disruption continued with </w:t>
      </w:r>
      <w:r w:rsidR="003C2F85">
        <w:t>the operation of the pupil ‘</w:t>
      </w:r>
      <w:r>
        <w:t>bubble</w:t>
      </w:r>
      <w:r w:rsidR="003C2F85">
        <w:t>’ system</w:t>
      </w:r>
      <w:r>
        <w:t xml:space="preserve"> and ad</w:t>
      </w:r>
      <w:r w:rsidR="00490C88">
        <w:t>-</w:t>
      </w:r>
      <w:r>
        <w:t xml:space="preserve">hoc closures commonplace. Additionally, </w:t>
      </w:r>
      <w:r w:rsidR="00D0694F">
        <w:t>this</w:t>
      </w:r>
      <w:r w:rsidR="00520C1E">
        <w:t xml:space="preserve"> term </w:t>
      </w:r>
      <w:r>
        <w:t>saw restrictions start to be reimposed. These factors all impacted activity levels, with 3.</w:t>
      </w:r>
      <w:r w:rsidR="00FA438B">
        <w:t xml:space="preserve">1% </w:t>
      </w:r>
      <w:r>
        <w:t xml:space="preserve">fewer children and young people meeting the active threshold </w:t>
      </w:r>
      <w:r w:rsidR="00D0694F">
        <w:t xml:space="preserve">in the Autumn 2020 term </w:t>
      </w:r>
      <w:r>
        <w:t xml:space="preserve">compared </w:t>
      </w:r>
      <w:r w:rsidR="00D0694F">
        <w:t>with</w:t>
      </w:r>
      <w:r>
        <w:t xml:space="preserve"> the equivalent period 12 months earlier (which was pre-pandemic).</w:t>
      </w:r>
    </w:p>
    <w:p w14:paraId="731243FE" w14:textId="57842C6E" w:rsidR="002A650A" w:rsidRDefault="002A650A" w:rsidP="002A650A">
      <w:r>
        <w:t xml:space="preserve">For much of the Spring </w:t>
      </w:r>
      <w:r w:rsidR="00490C88">
        <w:t>20</w:t>
      </w:r>
      <w:r>
        <w:t>21 term</w:t>
      </w:r>
      <w:r w:rsidR="003C2F85">
        <w:t>,</w:t>
      </w:r>
      <w:r>
        <w:t xml:space="preserve"> school sites were again closed to most pupils as we entered a new national lockdown throughout January and February. While there was only a modest drop (2.5</w:t>
      </w:r>
      <w:r w:rsidR="00014FF6">
        <w:t>%</w:t>
      </w:r>
      <w:r>
        <w:t xml:space="preserve">) in the proportion of children and young people who were active compared to the Spring </w:t>
      </w:r>
      <w:r w:rsidR="00490C88">
        <w:t>20</w:t>
      </w:r>
      <w:r>
        <w:t>20 term, th</w:t>
      </w:r>
      <w:r w:rsidR="003C2F85">
        <w:t>at</w:t>
      </w:r>
      <w:r>
        <w:t xml:space="preserve"> was a period disrupted by the storms of early 2020. Overall, the proportion who were active in the Spring 2021 term was 6.5</w:t>
      </w:r>
      <w:r w:rsidR="00014FF6" w:rsidRPr="00FA438B">
        <w:t>%</w:t>
      </w:r>
      <w:r>
        <w:t xml:space="preserve"> down on the Spring 2019 term. </w:t>
      </w:r>
    </w:p>
    <w:p w14:paraId="538ED1FC" w14:textId="4C348C36" w:rsidR="0095258E" w:rsidRDefault="002A650A" w:rsidP="002A650A">
      <w:r>
        <w:t xml:space="preserve">Similar to the Autumn 2020 term, during the Summer </w:t>
      </w:r>
      <w:r w:rsidR="00A50DC2">
        <w:t>20</w:t>
      </w:r>
      <w:r>
        <w:t>21 term school sites were mainly open to all pupils but there was continued disruption</w:t>
      </w:r>
      <w:r w:rsidR="003C2F85">
        <w:t>. T</w:t>
      </w:r>
      <w:r>
        <w:t xml:space="preserve">he main difference being that restrictions were easing over the Summer </w:t>
      </w:r>
      <w:r w:rsidR="00A50DC2">
        <w:t>20</w:t>
      </w:r>
      <w:r>
        <w:t xml:space="preserve">21 term rather than being tightened, as they were in the Autumn 2020 term. Despite this, activity levels </w:t>
      </w:r>
      <w:r w:rsidR="003C2F85">
        <w:t xml:space="preserve">didn’t </w:t>
      </w:r>
      <w:r>
        <w:t xml:space="preserve">fully recover to Summer </w:t>
      </w:r>
      <w:r w:rsidR="00A50DC2">
        <w:t>20</w:t>
      </w:r>
      <w:r>
        <w:t>19 term levels.</w:t>
      </w:r>
    </w:p>
    <w:p w14:paraId="16F3C2BF" w14:textId="179BA27D" w:rsidR="00187B24" w:rsidRDefault="00187B24" w:rsidP="002A650A"/>
    <w:p w14:paraId="53E6185F" w14:textId="60B19485" w:rsidR="00187B24" w:rsidRDefault="00187B24" w:rsidP="002A650A"/>
    <w:p w14:paraId="2250D074" w14:textId="2EDC704A" w:rsidR="00187B24" w:rsidRDefault="00187B24" w:rsidP="002A650A"/>
    <w:p w14:paraId="39C2D296" w14:textId="49D34918" w:rsidR="00187B24" w:rsidRDefault="00187B24" w:rsidP="002A650A"/>
    <w:p w14:paraId="0F8255EC" w14:textId="58254BE6" w:rsidR="00187B24" w:rsidRDefault="00187B24" w:rsidP="002A650A"/>
    <w:p w14:paraId="6D71FDF2" w14:textId="07CED406" w:rsidR="00187B24" w:rsidRDefault="00187B24" w:rsidP="002A650A"/>
    <w:p w14:paraId="25CD8445" w14:textId="636C085C" w:rsidR="00187B24" w:rsidRPr="0095258E" w:rsidRDefault="00187B24" w:rsidP="002A650A"/>
    <w:p w14:paraId="73F5D4CB" w14:textId="0C35F788" w:rsidR="00406E73" w:rsidRDefault="00406E73" w:rsidP="00406E73">
      <w:pPr>
        <w:rPr>
          <w:b/>
          <w:bCs/>
        </w:rPr>
      </w:pPr>
      <w:r>
        <w:rPr>
          <w:b/>
          <w:bCs/>
        </w:rPr>
        <w:lastRenderedPageBreak/>
        <w:t xml:space="preserve">Figure </w:t>
      </w:r>
      <w:r w:rsidR="007A05A9">
        <w:rPr>
          <w:b/>
          <w:bCs/>
        </w:rPr>
        <w:t>1</w:t>
      </w:r>
      <w:r>
        <w:rPr>
          <w:b/>
          <w:bCs/>
        </w:rPr>
        <w:t xml:space="preserve">: </w:t>
      </w:r>
      <w:r w:rsidR="00EA7D7B">
        <w:rPr>
          <w:b/>
          <w:bCs/>
        </w:rPr>
        <w:t>Percentage of physically active children and young people</w:t>
      </w:r>
      <w:r w:rsidR="002C6612">
        <w:rPr>
          <w:b/>
          <w:bCs/>
        </w:rPr>
        <w:t xml:space="preserve"> in the Active Lives Survey, England</w:t>
      </w:r>
    </w:p>
    <w:p w14:paraId="2E19ED1E" w14:textId="585814F2" w:rsidR="00406E73" w:rsidRPr="006B2986" w:rsidRDefault="00004440" w:rsidP="00406E7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3B4D955" wp14:editId="679921E0">
            <wp:extent cx="5731510" cy="3057525"/>
            <wp:effectExtent l="0" t="0" r="2540" b="9525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B452" w14:textId="77777777" w:rsidR="00187B24" w:rsidRDefault="00187B24" w:rsidP="006B2986">
      <w:pPr>
        <w:rPr>
          <w:b/>
          <w:bCs/>
        </w:rPr>
      </w:pPr>
    </w:p>
    <w:p w14:paraId="0381B621" w14:textId="46286580" w:rsidR="006B2986" w:rsidRPr="005C57E3" w:rsidRDefault="00EA7D7B" w:rsidP="006B2986">
      <w:pPr>
        <w:rPr>
          <w:b/>
          <w:bCs/>
        </w:rPr>
      </w:pPr>
      <w:r>
        <w:rPr>
          <w:b/>
          <w:bCs/>
        </w:rPr>
        <w:t>Vision</w:t>
      </w:r>
      <w:r w:rsidR="0095258E">
        <w:rPr>
          <w:b/>
          <w:bCs/>
        </w:rPr>
        <w:t xml:space="preserve"> healthcare appointments and treatments</w:t>
      </w:r>
    </w:p>
    <w:p w14:paraId="60085F72" w14:textId="77777777" w:rsidR="00187B24" w:rsidRDefault="00490C88" w:rsidP="006B2986">
      <w:r>
        <w:t xml:space="preserve">The number of cataract surgeries dropped to very low levels in April 2020 and remained at a lower number than the 2018 and 2019 baseline average for the rest of 2020 (Figure 2). Since April 2021, </w:t>
      </w:r>
      <w:r w:rsidR="00C87344">
        <w:t xml:space="preserve">numbers </w:t>
      </w:r>
      <w:r>
        <w:t xml:space="preserve">have returned to pre-pandemic levels or above. </w:t>
      </w:r>
    </w:p>
    <w:p w14:paraId="1BCA6AE6" w14:textId="3C427699" w:rsidR="008E3D67" w:rsidRDefault="006B2986" w:rsidP="006B2986">
      <w:r>
        <w:rPr>
          <w:b/>
          <w:bCs/>
        </w:rPr>
        <w:lastRenderedPageBreak/>
        <w:t>Figure</w:t>
      </w:r>
      <w:r w:rsidR="007A05A9">
        <w:rPr>
          <w:b/>
          <w:bCs/>
        </w:rPr>
        <w:t xml:space="preserve"> 2</w:t>
      </w:r>
      <w:r>
        <w:rPr>
          <w:b/>
          <w:bCs/>
        </w:rPr>
        <w:t xml:space="preserve">: </w:t>
      </w:r>
      <w:r w:rsidR="00EA7D7B">
        <w:rPr>
          <w:b/>
          <w:bCs/>
        </w:rPr>
        <w:t xml:space="preserve">Admissions to hospital for cataract surgery, 2020 and 2021 compared with the 2018 </w:t>
      </w:r>
      <w:r w:rsidR="00C87344">
        <w:rPr>
          <w:b/>
          <w:bCs/>
        </w:rPr>
        <w:t xml:space="preserve">to </w:t>
      </w:r>
      <w:r w:rsidR="00EA7D7B">
        <w:rPr>
          <w:b/>
          <w:bCs/>
        </w:rPr>
        <w:t>2019 average</w:t>
      </w:r>
      <w:r w:rsidR="004576C8">
        <w:rPr>
          <w:b/>
          <w:bCs/>
        </w:rPr>
        <w:t>, England</w:t>
      </w:r>
      <w:r w:rsidR="00150FC7">
        <w:rPr>
          <w:b/>
          <w:bCs/>
          <w:noProof/>
        </w:rPr>
        <w:drawing>
          <wp:inline distT="0" distB="0" distL="0" distR="0" wp14:anchorId="4A3B46C7" wp14:editId="6898AD86">
            <wp:extent cx="5653377" cy="3546984"/>
            <wp:effectExtent l="0" t="0" r="508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530" cy="354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E8159" w14:textId="1D76C911" w:rsidR="00BF4F52" w:rsidRDefault="002C5210" w:rsidP="00BF4F52">
      <w:pPr>
        <w:rPr>
          <w:b/>
          <w:bCs/>
        </w:rPr>
      </w:pPr>
      <w:r>
        <w:rPr>
          <w:b/>
          <w:bCs/>
        </w:rPr>
        <w:t>Alcohol-specific emergency admissions</w:t>
      </w:r>
      <w:r w:rsidR="00DB5BE4">
        <w:rPr>
          <w:b/>
          <w:bCs/>
        </w:rPr>
        <w:t xml:space="preserve"> and mortality</w:t>
      </w:r>
    </w:p>
    <w:p w14:paraId="1FA3C429" w14:textId="3E164F23" w:rsidR="00B80E6F" w:rsidRPr="005370D0" w:rsidRDefault="00B80E6F" w:rsidP="00BF4F52">
      <w:r>
        <w:t xml:space="preserve">The rate of emergency hospital admissions for all alcohol-specific conditions decreased in March and April 2020 (Figure 3). By June 2020 the rate had returned to pre-pandemic levels and has since remained at a similar </w:t>
      </w:r>
      <w:r w:rsidR="00FD7749">
        <w:t>rate</w:t>
      </w:r>
      <w:r>
        <w:t xml:space="preserve"> to the 2018 and 2019 baseline average.</w:t>
      </w:r>
    </w:p>
    <w:p w14:paraId="2ACCE89B" w14:textId="2060B021" w:rsidR="00DF5B78" w:rsidRDefault="00D81707" w:rsidP="006B2986">
      <w:r>
        <w:rPr>
          <w:b/>
          <w:bCs/>
        </w:rPr>
        <w:t xml:space="preserve">Figure </w:t>
      </w:r>
      <w:r w:rsidR="00A742A1">
        <w:rPr>
          <w:b/>
          <w:bCs/>
        </w:rPr>
        <w:t>3</w:t>
      </w:r>
      <w:r w:rsidR="00FD0C06">
        <w:rPr>
          <w:b/>
          <w:bCs/>
        </w:rPr>
        <w:t>:</w:t>
      </w:r>
      <w:r>
        <w:rPr>
          <w:b/>
          <w:bCs/>
        </w:rPr>
        <w:t xml:space="preserve"> </w:t>
      </w:r>
      <w:r w:rsidR="00AC2D17">
        <w:rPr>
          <w:b/>
          <w:bCs/>
        </w:rPr>
        <w:t xml:space="preserve">Monthly trend in emergency hospital admissions for all alcohol-specific conditions, 2020 and 2021 compared </w:t>
      </w:r>
      <w:r w:rsidR="00C87344">
        <w:rPr>
          <w:b/>
          <w:bCs/>
        </w:rPr>
        <w:t xml:space="preserve">with </w:t>
      </w:r>
      <w:r w:rsidR="00AC2D17">
        <w:rPr>
          <w:b/>
          <w:bCs/>
        </w:rPr>
        <w:t xml:space="preserve">2018 </w:t>
      </w:r>
      <w:r w:rsidR="00C87344">
        <w:rPr>
          <w:b/>
          <w:bCs/>
        </w:rPr>
        <w:t xml:space="preserve">to </w:t>
      </w:r>
      <w:r w:rsidR="00AC2D17">
        <w:rPr>
          <w:b/>
          <w:bCs/>
        </w:rPr>
        <w:t>2019 average</w:t>
      </w:r>
      <w:r w:rsidR="004576C8">
        <w:rPr>
          <w:b/>
          <w:bCs/>
        </w:rPr>
        <w:t>, England</w:t>
      </w:r>
    </w:p>
    <w:p w14:paraId="4062B83C" w14:textId="3B171340" w:rsidR="007335B7" w:rsidRDefault="007335B7" w:rsidP="00A742A1">
      <w:pPr>
        <w:rPr>
          <w:b/>
          <w:bCs/>
        </w:rPr>
      </w:pPr>
    </w:p>
    <w:p w14:paraId="697259B3" w14:textId="6B264D49" w:rsidR="007335B7" w:rsidRDefault="00BE0B82" w:rsidP="00A742A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C56EDD" wp14:editId="19263E07">
            <wp:extent cx="5734050" cy="2524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1228F" w14:textId="2C492251" w:rsidR="007335B7" w:rsidRPr="005E466F" w:rsidRDefault="000D2CC3" w:rsidP="00A742A1">
      <w:r>
        <w:lastRenderedPageBreak/>
        <w:t>Figure 4 shows that m</w:t>
      </w:r>
      <w:r w:rsidR="005E466F" w:rsidRPr="00886B84">
        <w:t xml:space="preserve">ortality rates for alcohol-specific conditions were higher </w:t>
      </w:r>
      <w:r w:rsidR="002C6612">
        <w:t>in</w:t>
      </w:r>
      <w:r w:rsidR="005E466F" w:rsidRPr="00886B84">
        <w:t xml:space="preserve"> all months from May 2020 </w:t>
      </w:r>
      <w:r w:rsidR="005E466F" w:rsidRPr="008F0EE5">
        <w:t xml:space="preserve">to </w:t>
      </w:r>
      <w:r w:rsidR="005E466F">
        <w:t>December</w:t>
      </w:r>
      <w:r w:rsidR="005E466F" w:rsidRPr="00886B84">
        <w:t xml:space="preserve"> 2021 than in the same months at baseline (2018 and 2019 combined).</w:t>
      </w:r>
    </w:p>
    <w:p w14:paraId="10D31B46" w14:textId="70CAE662" w:rsidR="00A742A1" w:rsidRDefault="00A742A1" w:rsidP="00A742A1">
      <w:pPr>
        <w:rPr>
          <w:b/>
          <w:bCs/>
        </w:rPr>
      </w:pPr>
      <w:r>
        <w:rPr>
          <w:b/>
          <w:bCs/>
        </w:rPr>
        <w:t xml:space="preserve">Figure 4: </w:t>
      </w:r>
      <w:r w:rsidR="00AC2D17">
        <w:rPr>
          <w:b/>
          <w:bCs/>
        </w:rPr>
        <w:t xml:space="preserve">Monthly trend in mortality for all alcohol-specific conditions, 2020 and 2021 compared </w:t>
      </w:r>
      <w:r w:rsidR="00C87344">
        <w:rPr>
          <w:b/>
          <w:bCs/>
        </w:rPr>
        <w:t xml:space="preserve">with </w:t>
      </w:r>
      <w:r w:rsidR="00AC2D17">
        <w:rPr>
          <w:b/>
          <w:bCs/>
        </w:rPr>
        <w:t xml:space="preserve">2018 </w:t>
      </w:r>
      <w:r w:rsidR="00C87344">
        <w:rPr>
          <w:b/>
          <w:bCs/>
        </w:rPr>
        <w:t xml:space="preserve">to </w:t>
      </w:r>
      <w:r w:rsidR="00AC2D17">
        <w:rPr>
          <w:b/>
          <w:bCs/>
        </w:rPr>
        <w:t>2019 average</w:t>
      </w:r>
      <w:r w:rsidR="004576C8">
        <w:rPr>
          <w:b/>
          <w:bCs/>
        </w:rPr>
        <w:t>, England</w:t>
      </w:r>
    </w:p>
    <w:p w14:paraId="713C0FB0" w14:textId="6F958262" w:rsidR="00D81707" w:rsidRDefault="00BE0B82" w:rsidP="006B2986">
      <w:r>
        <w:rPr>
          <w:b/>
          <w:bCs/>
          <w:noProof/>
        </w:rPr>
        <w:drawing>
          <wp:inline distT="0" distB="0" distL="0" distR="0" wp14:anchorId="55B7D174" wp14:editId="07EB1FB1">
            <wp:extent cx="5724525" cy="2505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86"/>
    <w:rsid w:val="00004440"/>
    <w:rsid w:val="000071C6"/>
    <w:rsid w:val="00014FF6"/>
    <w:rsid w:val="00035900"/>
    <w:rsid w:val="00065E36"/>
    <w:rsid w:val="000B380D"/>
    <w:rsid w:val="000D2CC3"/>
    <w:rsid w:val="000E7854"/>
    <w:rsid w:val="000F5D62"/>
    <w:rsid w:val="00142609"/>
    <w:rsid w:val="00150FC7"/>
    <w:rsid w:val="00166107"/>
    <w:rsid w:val="00182CAE"/>
    <w:rsid w:val="00187B24"/>
    <w:rsid w:val="001A6F8E"/>
    <w:rsid w:val="001B15D0"/>
    <w:rsid w:val="00251892"/>
    <w:rsid w:val="00290107"/>
    <w:rsid w:val="002A650A"/>
    <w:rsid w:val="002B1157"/>
    <w:rsid w:val="002C5210"/>
    <w:rsid w:val="002C6612"/>
    <w:rsid w:val="002F599B"/>
    <w:rsid w:val="00331BE6"/>
    <w:rsid w:val="00357D0E"/>
    <w:rsid w:val="003616C5"/>
    <w:rsid w:val="00381AA8"/>
    <w:rsid w:val="00384160"/>
    <w:rsid w:val="003C2F85"/>
    <w:rsid w:val="00406E73"/>
    <w:rsid w:val="004131E8"/>
    <w:rsid w:val="00413490"/>
    <w:rsid w:val="004211F2"/>
    <w:rsid w:val="004576C8"/>
    <w:rsid w:val="00490C88"/>
    <w:rsid w:val="004E4F20"/>
    <w:rsid w:val="00520C1E"/>
    <w:rsid w:val="005370D0"/>
    <w:rsid w:val="00540080"/>
    <w:rsid w:val="0054102D"/>
    <w:rsid w:val="005614B7"/>
    <w:rsid w:val="00582379"/>
    <w:rsid w:val="00585A57"/>
    <w:rsid w:val="005D1DC8"/>
    <w:rsid w:val="005E466F"/>
    <w:rsid w:val="00677AEC"/>
    <w:rsid w:val="006B2986"/>
    <w:rsid w:val="006C1EBF"/>
    <w:rsid w:val="006D4690"/>
    <w:rsid w:val="006F333D"/>
    <w:rsid w:val="006F3800"/>
    <w:rsid w:val="00714611"/>
    <w:rsid w:val="00722516"/>
    <w:rsid w:val="0072738F"/>
    <w:rsid w:val="00731A8D"/>
    <w:rsid w:val="007335B7"/>
    <w:rsid w:val="00775F25"/>
    <w:rsid w:val="007A05A9"/>
    <w:rsid w:val="007F3548"/>
    <w:rsid w:val="008529BB"/>
    <w:rsid w:val="00861E1F"/>
    <w:rsid w:val="00897B64"/>
    <w:rsid w:val="008C7E9F"/>
    <w:rsid w:val="009222E3"/>
    <w:rsid w:val="009325F9"/>
    <w:rsid w:val="0095258E"/>
    <w:rsid w:val="00981E89"/>
    <w:rsid w:val="00994107"/>
    <w:rsid w:val="009A0588"/>
    <w:rsid w:val="009A43DE"/>
    <w:rsid w:val="009E4F31"/>
    <w:rsid w:val="00A35720"/>
    <w:rsid w:val="00A50DC2"/>
    <w:rsid w:val="00A6346C"/>
    <w:rsid w:val="00A646B5"/>
    <w:rsid w:val="00A742A1"/>
    <w:rsid w:val="00AC2D17"/>
    <w:rsid w:val="00AD1FEB"/>
    <w:rsid w:val="00B11E2C"/>
    <w:rsid w:val="00B42F7C"/>
    <w:rsid w:val="00B63754"/>
    <w:rsid w:val="00B80E6F"/>
    <w:rsid w:val="00BA6341"/>
    <w:rsid w:val="00BC2EA0"/>
    <w:rsid w:val="00BD7A7E"/>
    <w:rsid w:val="00BE0B82"/>
    <w:rsid w:val="00BF4F52"/>
    <w:rsid w:val="00C43445"/>
    <w:rsid w:val="00C64B9B"/>
    <w:rsid w:val="00C67FBD"/>
    <w:rsid w:val="00C86319"/>
    <w:rsid w:val="00C87344"/>
    <w:rsid w:val="00CA2C85"/>
    <w:rsid w:val="00D0694F"/>
    <w:rsid w:val="00D2283B"/>
    <w:rsid w:val="00D81707"/>
    <w:rsid w:val="00D93C25"/>
    <w:rsid w:val="00DB5BE4"/>
    <w:rsid w:val="00DF5B78"/>
    <w:rsid w:val="00E6686B"/>
    <w:rsid w:val="00E80CD0"/>
    <w:rsid w:val="00EA7D7B"/>
    <w:rsid w:val="00EC7619"/>
    <w:rsid w:val="00EF7DEA"/>
    <w:rsid w:val="00F00FF1"/>
    <w:rsid w:val="00F1447B"/>
    <w:rsid w:val="00F766AA"/>
    <w:rsid w:val="00FA438B"/>
    <w:rsid w:val="00FB5BE0"/>
    <w:rsid w:val="00FB6A2D"/>
    <w:rsid w:val="00FD0C06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1283"/>
  <w15:chartTrackingRefBased/>
  <w15:docId w15:val="{3C463919-9301-4F11-AD05-E81BA91A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8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B2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2986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29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B29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2986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98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B5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FB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BDD5-9B6F-4E7F-9CC2-71D9F48D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Hutchinson</dc:creator>
  <cp:keywords/>
  <dc:description/>
  <cp:lastModifiedBy>Kate Hutchinson</cp:lastModifiedBy>
  <cp:revision>3</cp:revision>
  <dcterms:created xsi:type="dcterms:W3CDTF">2022-02-16T09:57:00Z</dcterms:created>
  <dcterms:modified xsi:type="dcterms:W3CDTF">2022-02-16T15:36:00Z</dcterms:modified>
</cp:coreProperties>
</file>