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259D" w14:textId="023A747E" w:rsidR="006B2986" w:rsidRPr="005C57E3" w:rsidRDefault="006B2986" w:rsidP="006B2986">
      <w:pPr>
        <w:pStyle w:val="Heading1"/>
        <w:rPr>
          <w:rFonts w:ascii="Arial" w:hAnsi="Arial" w:cs="Arial"/>
          <w:color w:val="auto"/>
          <w:sz w:val="24"/>
          <w:szCs w:val="24"/>
        </w:rPr>
      </w:pPr>
      <w:r w:rsidRPr="005C57E3">
        <w:rPr>
          <w:rFonts w:ascii="Arial" w:hAnsi="Arial" w:cs="Arial"/>
          <w:color w:val="auto"/>
          <w:sz w:val="24"/>
          <w:szCs w:val="24"/>
        </w:rPr>
        <w:t xml:space="preserve">Wider Impacts of COVID-19 on Health (WICH) </w:t>
      </w:r>
      <w:r w:rsidRPr="005C57E3">
        <w:rPr>
          <w:rFonts w:ascii="Arial" w:hAnsi="Arial" w:cs="Arial"/>
          <w:b w:val="0"/>
          <w:bCs w:val="0"/>
          <w:color w:val="auto"/>
          <w:sz w:val="24"/>
          <w:szCs w:val="24"/>
        </w:rPr>
        <w:t>summary</w:t>
      </w:r>
      <w:r w:rsidRPr="00580C6A">
        <w:rPr>
          <w:rFonts w:ascii="Arial" w:hAnsi="Arial" w:cs="Arial"/>
          <w:b w:val="0"/>
          <w:bCs w:val="0"/>
          <w:color w:val="auto"/>
          <w:sz w:val="24"/>
          <w:szCs w:val="24"/>
        </w:rPr>
        <w:t>,</w:t>
      </w:r>
      <w:r w:rsidR="008864C4" w:rsidRPr="00580C6A">
        <w:rPr>
          <w:rFonts w:ascii="Arial" w:hAnsi="Arial" w:cs="Arial"/>
          <w:b w:val="0"/>
          <w:bCs w:val="0"/>
          <w:color w:val="auto"/>
          <w:sz w:val="24"/>
          <w:szCs w:val="24"/>
        </w:rPr>
        <w:t xml:space="preserve"> </w:t>
      </w:r>
      <w:r w:rsidR="00E226C7">
        <w:rPr>
          <w:rFonts w:ascii="Arial" w:hAnsi="Arial" w:cs="Arial"/>
          <w:b w:val="0"/>
          <w:bCs w:val="0"/>
          <w:color w:val="auto"/>
          <w:sz w:val="24"/>
          <w:szCs w:val="24"/>
        </w:rPr>
        <w:t>15 December 2022</w:t>
      </w:r>
    </w:p>
    <w:p w14:paraId="5832E2A0" w14:textId="6B8A864E" w:rsidR="00F03DE7" w:rsidRDefault="00F03DE7" w:rsidP="00883FA2">
      <w:pPr>
        <w:rPr>
          <w:b/>
          <w:bCs/>
        </w:rPr>
      </w:pPr>
    </w:p>
    <w:p w14:paraId="12EE6C63" w14:textId="48906BCF" w:rsidR="00E226C7" w:rsidRDefault="00E226C7" w:rsidP="00E226C7">
      <w:pPr>
        <w:rPr>
          <w:b/>
          <w:bCs/>
        </w:rPr>
      </w:pPr>
      <w:r>
        <w:rPr>
          <w:b/>
          <w:bCs/>
        </w:rPr>
        <w:t>Overview</w:t>
      </w:r>
    </w:p>
    <w:p w14:paraId="268E39B0" w14:textId="116FDBA9" w:rsidR="00E226C7" w:rsidRPr="00954A35" w:rsidRDefault="00E226C7" w:rsidP="00E226C7">
      <w:pPr>
        <w:pStyle w:val="BodyText"/>
      </w:pPr>
      <w:r>
        <w:t xml:space="preserve">This summary </w:t>
      </w:r>
      <w:r w:rsidRPr="00580C6A">
        <w:t>provides the main messages for some of the metrics updated in this release</w:t>
      </w:r>
      <w:r>
        <w:t>. It will cover the</w:t>
      </w:r>
      <w:r w:rsidR="005A2E62">
        <w:t xml:space="preserve"> new diabetic eye screening metric and</w:t>
      </w:r>
      <w:r>
        <w:t xml:space="preserve"> updated indicators </w:t>
      </w:r>
      <w:r w:rsidR="008C1BDD">
        <w:t xml:space="preserve">on </w:t>
      </w:r>
      <w:r w:rsidR="00EE0BC9">
        <w:t>sexual health</w:t>
      </w:r>
      <w:r w:rsidR="008C1BDD">
        <w:t xml:space="preserve">. </w:t>
      </w:r>
    </w:p>
    <w:p w14:paraId="13A0C802" w14:textId="77777777" w:rsidR="00E226C7" w:rsidRDefault="00E226C7" w:rsidP="00E226C7">
      <w:pPr>
        <w:rPr>
          <w:b/>
          <w:bCs/>
        </w:rPr>
      </w:pPr>
    </w:p>
    <w:p w14:paraId="1776321A" w14:textId="46CF1F3E" w:rsidR="00E226C7" w:rsidRDefault="00E226C7" w:rsidP="00E226C7">
      <w:pPr>
        <w:rPr>
          <w:b/>
          <w:bCs/>
        </w:rPr>
      </w:pPr>
      <w:r>
        <w:rPr>
          <w:b/>
          <w:bCs/>
        </w:rPr>
        <w:t>Main messages</w:t>
      </w:r>
    </w:p>
    <w:p w14:paraId="575C0A5B" w14:textId="1793AD90" w:rsidR="00D5507A" w:rsidRDefault="00830DF9" w:rsidP="00E226C7">
      <w:pPr>
        <w:rPr>
          <w:b/>
          <w:bCs/>
        </w:rPr>
      </w:pPr>
      <w:r>
        <w:rPr>
          <w:b/>
          <w:bCs/>
        </w:rPr>
        <w:t>New</w:t>
      </w:r>
      <w:r w:rsidR="00E226C7">
        <w:rPr>
          <w:b/>
          <w:bCs/>
        </w:rPr>
        <w:t xml:space="preserve"> metrics</w:t>
      </w:r>
      <w:r w:rsidR="00126C4D">
        <w:rPr>
          <w:b/>
          <w:bCs/>
        </w:rPr>
        <w:t xml:space="preserve">: </w:t>
      </w:r>
      <w:r>
        <w:rPr>
          <w:b/>
          <w:bCs/>
        </w:rPr>
        <w:t>Diabetic eye screening</w:t>
      </w:r>
    </w:p>
    <w:p w14:paraId="24EBEB41" w14:textId="749543DF" w:rsidR="003C4667" w:rsidRDefault="000A3968" w:rsidP="00962911">
      <w:pPr>
        <w:pStyle w:val="PHEBodycopy"/>
        <w:ind w:right="-46"/>
      </w:pPr>
      <w:r w:rsidRPr="000A3968">
        <w:t xml:space="preserve">Eye screening is offered to </w:t>
      </w:r>
      <w:r>
        <w:t xml:space="preserve">people diagnosed with diabetes mellitus (excluding gestational diabetes) aged 12 years and older on an annual basis. Screening aims to detect damage to the back of the eye (retina) early so that it can be treated. If left undiagnosed or untreated diabetic retinopathy can cause blindness. </w:t>
      </w:r>
      <w:r w:rsidR="00BD344B">
        <w:t>Figure 1 shows the proportion of eligible pe</w:t>
      </w:r>
      <w:r w:rsidR="006F7900">
        <w:t>ople with diabetes</w:t>
      </w:r>
      <w:r w:rsidR="00BD344B">
        <w:t xml:space="preserve"> offered routine digital screening (RDS) who attend a RDS event where images are captured (uptake). The data is measured across a rolling </w:t>
      </w:r>
      <w:proofErr w:type="gramStart"/>
      <w:r w:rsidR="00BD344B">
        <w:t>12 month</w:t>
      </w:r>
      <w:proofErr w:type="gramEnd"/>
      <w:r w:rsidR="00BD344B">
        <w:t xml:space="preserve"> period. Between the</w:t>
      </w:r>
      <w:r w:rsidR="564FBBAF">
        <w:t xml:space="preserve"> rolling</w:t>
      </w:r>
      <w:r w:rsidR="00BD344B">
        <w:t xml:space="preserve"> </w:t>
      </w:r>
      <w:proofErr w:type="gramStart"/>
      <w:r w:rsidR="00BD344B">
        <w:t>12 month</w:t>
      </w:r>
      <w:proofErr w:type="gramEnd"/>
      <w:r w:rsidR="00BD344B">
        <w:t xml:space="preserve"> period</w:t>
      </w:r>
      <w:r w:rsidR="3094FDAC">
        <w:t>s</w:t>
      </w:r>
      <w:r w:rsidR="00BD344B">
        <w:t xml:space="preserve"> ending 30 June 2017 and 31 March 2020, approximately 82.3% of the eligible people</w:t>
      </w:r>
      <w:r w:rsidR="006F7900">
        <w:t xml:space="preserve"> with diabetes</w:t>
      </w:r>
      <w:r w:rsidR="00BD344B">
        <w:t xml:space="preserve"> offered RDS had attended a successful screen</w:t>
      </w:r>
      <w:r w:rsidR="000E0932">
        <w:t xml:space="preserve"> (images captured enable </w:t>
      </w:r>
      <w:r w:rsidR="00E94634">
        <w:t>a screening outcome to be determined)</w:t>
      </w:r>
      <w:r w:rsidR="00BD344B">
        <w:t xml:space="preserve">. </w:t>
      </w:r>
    </w:p>
    <w:p w14:paraId="472203BB" w14:textId="77777777" w:rsidR="003C4667" w:rsidRDefault="003C4667" w:rsidP="00962911">
      <w:pPr>
        <w:pStyle w:val="PHEBodycopy"/>
        <w:ind w:right="-46"/>
      </w:pPr>
    </w:p>
    <w:p w14:paraId="68D9A7CE" w14:textId="5C9C654B" w:rsidR="006F7900" w:rsidRPr="00BD344B" w:rsidRDefault="00BD344B" w:rsidP="00962911">
      <w:pPr>
        <w:pStyle w:val="PHEBodycopy"/>
        <w:ind w:right="-46"/>
      </w:pPr>
      <w:r>
        <w:t xml:space="preserve">Diabetic eye screening services paused screening between April and June </w:t>
      </w:r>
      <w:r w:rsidR="00E226C7">
        <w:t>2020,</w:t>
      </w:r>
      <w:r>
        <w:t xml:space="preserve"> but the full impact of the pause wasn’t seen until quarter 4 </w:t>
      </w:r>
      <w:r w:rsidR="00E226C7">
        <w:t xml:space="preserve">of the financial year </w:t>
      </w:r>
      <w:r>
        <w:t>2020</w:t>
      </w:r>
      <w:r w:rsidR="006F7900">
        <w:t xml:space="preserve"> to 20</w:t>
      </w:r>
      <w:r>
        <w:t>21</w:t>
      </w:r>
      <w:r w:rsidR="006F7900">
        <w:t>. Prior to quarter 4 2020</w:t>
      </w:r>
      <w:r w:rsidR="000E0932">
        <w:t xml:space="preserve"> to 20</w:t>
      </w:r>
      <w:r w:rsidR="00E226C7">
        <w:t xml:space="preserve">21 </w:t>
      </w:r>
      <w:r w:rsidR="006F7900">
        <w:t>the data had included pre-pandemic data because it is measured over a rolling 12 months. Uptake has increased from quarter 1 2021</w:t>
      </w:r>
      <w:r w:rsidR="000E0932">
        <w:t xml:space="preserve"> to 202</w:t>
      </w:r>
      <w:r w:rsidR="006F7900">
        <w:t xml:space="preserve">2 onwards and reached </w:t>
      </w:r>
      <w:r w:rsidR="004921A3">
        <w:t>78.4</w:t>
      </w:r>
      <w:r w:rsidR="006F7900">
        <w:t>%</w:t>
      </w:r>
      <w:r w:rsidR="00281AB7">
        <w:t xml:space="preserve"> in quarter 4 2021 to 2022</w:t>
      </w:r>
      <w:r w:rsidR="006F7900">
        <w:t>, which is above the acceptable threshold of 75%.</w:t>
      </w:r>
      <w:r w:rsidR="00CB5081">
        <w:t xml:space="preserve"> </w:t>
      </w:r>
    </w:p>
    <w:p w14:paraId="619353DF" w14:textId="0D0DEE7F" w:rsidR="00830DF9" w:rsidRDefault="00830DF9" w:rsidP="00962911">
      <w:pPr>
        <w:pStyle w:val="PHEBodycopy"/>
        <w:ind w:right="-46"/>
        <w:rPr>
          <w:b/>
          <w:bCs/>
        </w:rPr>
      </w:pPr>
    </w:p>
    <w:p w14:paraId="2B34B739" w14:textId="5608E007" w:rsidR="00830DF9" w:rsidRDefault="00E226C7" w:rsidP="00962911">
      <w:pPr>
        <w:pStyle w:val="PHEBodycopy"/>
        <w:ind w:right="-46"/>
        <w:rPr>
          <w:b/>
          <w:bCs/>
        </w:rPr>
      </w:pPr>
      <w:r>
        <w:rPr>
          <w:b/>
          <w:bCs/>
          <w:noProof/>
        </w:rPr>
        <w:lastRenderedPageBreak/>
        <w:drawing>
          <wp:anchor distT="0" distB="0" distL="114300" distR="114300" simplePos="0" relativeHeight="251658240" behindDoc="0" locked="0" layoutInCell="1" allowOverlap="1" wp14:anchorId="4177C5D7" wp14:editId="3D13D5EE">
            <wp:simplePos x="0" y="0"/>
            <wp:positionH relativeFrom="margin">
              <wp:align>right</wp:align>
            </wp:positionH>
            <wp:positionV relativeFrom="paragraph">
              <wp:posOffset>430530</wp:posOffset>
            </wp:positionV>
            <wp:extent cx="5731510" cy="2621280"/>
            <wp:effectExtent l="0" t="0" r="2540" b="7620"/>
            <wp:wrapSquare wrapText="bothSides"/>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621280"/>
                    </a:xfrm>
                    <a:prstGeom prst="rect">
                      <a:avLst/>
                    </a:prstGeom>
                  </pic:spPr>
                </pic:pic>
              </a:graphicData>
            </a:graphic>
          </wp:anchor>
        </w:drawing>
      </w:r>
      <w:r w:rsidR="00830DF9">
        <w:rPr>
          <w:b/>
          <w:bCs/>
        </w:rPr>
        <w:t xml:space="preserve">Figure 1: </w:t>
      </w:r>
      <w:r w:rsidR="00830DF9" w:rsidRPr="00830DF9">
        <w:rPr>
          <w:b/>
          <w:bCs/>
        </w:rPr>
        <w:t>Proportion of those offered RDS who attend a RDS event where images are captured</w:t>
      </w:r>
      <w:r w:rsidR="00830DF9">
        <w:rPr>
          <w:b/>
          <w:bCs/>
        </w:rPr>
        <w:t xml:space="preserve">, April 2017 </w:t>
      </w:r>
      <w:r w:rsidR="00DE0BFA">
        <w:rPr>
          <w:b/>
          <w:bCs/>
        </w:rPr>
        <w:t>March</w:t>
      </w:r>
      <w:r w:rsidR="00830DF9">
        <w:rPr>
          <w:b/>
          <w:bCs/>
        </w:rPr>
        <w:t xml:space="preserve"> 202</w:t>
      </w:r>
      <w:r w:rsidR="00DE0BFA">
        <w:rPr>
          <w:b/>
          <w:bCs/>
        </w:rPr>
        <w:t>2</w:t>
      </w:r>
      <w:r w:rsidR="00830DF9">
        <w:rPr>
          <w:b/>
          <w:bCs/>
        </w:rPr>
        <w:t>,</w:t>
      </w:r>
      <w:r w:rsidR="00830DF9" w:rsidRPr="00830DF9">
        <w:rPr>
          <w:b/>
          <w:bCs/>
        </w:rPr>
        <w:t xml:space="preserve"> England</w:t>
      </w:r>
    </w:p>
    <w:p w14:paraId="7E355B6D" w14:textId="2785E0AC" w:rsidR="00830DF9" w:rsidRDefault="00830DF9" w:rsidP="00962911">
      <w:pPr>
        <w:pStyle w:val="PHEBodycopy"/>
        <w:ind w:right="-46"/>
        <w:rPr>
          <w:b/>
          <w:bCs/>
        </w:rPr>
      </w:pPr>
    </w:p>
    <w:p w14:paraId="74D8FC59" w14:textId="6F68658E" w:rsidR="00CC7525" w:rsidRPr="00347E81" w:rsidRDefault="00CC7525" w:rsidP="00CC7525">
      <w:pPr>
        <w:pStyle w:val="PHEBodycopy"/>
        <w:rPr>
          <w:i/>
          <w:iCs/>
        </w:rPr>
      </w:pPr>
      <w:r>
        <w:rPr>
          <w:rFonts w:cs="Arial"/>
          <w:i/>
          <w:iCs/>
          <w:color w:val="000000" w:themeColor="text1"/>
          <w:szCs w:val="24"/>
          <w:shd w:val="clear" w:color="auto" w:fill="FFFFFF"/>
        </w:rPr>
        <w:t>S</w:t>
      </w:r>
      <w:r w:rsidRPr="00347E81">
        <w:rPr>
          <w:rFonts w:cs="Arial"/>
          <w:i/>
          <w:iCs/>
          <w:color w:val="000000" w:themeColor="text1"/>
          <w:szCs w:val="24"/>
          <w:shd w:val="clear" w:color="auto" w:fill="FFFFFF"/>
        </w:rPr>
        <w:t xml:space="preserve">ource: Screening key performance indicators, NHS England </w:t>
      </w:r>
    </w:p>
    <w:p w14:paraId="2FC726C2" w14:textId="1554B199" w:rsidR="00830DF9" w:rsidRDefault="00830DF9" w:rsidP="00962911">
      <w:pPr>
        <w:pStyle w:val="PHEBodycopy"/>
        <w:ind w:right="-46"/>
        <w:rPr>
          <w:b/>
          <w:bCs/>
        </w:rPr>
      </w:pPr>
    </w:p>
    <w:p w14:paraId="7EF97AF8" w14:textId="43EF776D" w:rsidR="00830DF9" w:rsidRDefault="00830DF9" w:rsidP="00962911">
      <w:pPr>
        <w:pStyle w:val="PHEBodycopy"/>
        <w:ind w:right="-46"/>
        <w:rPr>
          <w:b/>
          <w:bCs/>
        </w:rPr>
      </w:pPr>
    </w:p>
    <w:p w14:paraId="139500BF" w14:textId="77777777" w:rsidR="00873063" w:rsidRDefault="006F7900" w:rsidP="00962911">
      <w:pPr>
        <w:pStyle w:val="PHEBodycopy"/>
        <w:ind w:right="-46"/>
      </w:pPr>
      <w:r>
        <w:t xml:space="preserve">Figure 2 shows the </w:t>
      </w:r>
      <w:bookmarkStart w:id="0" w:name="_Hlk121905538"/>
      <w:r>
        <w:t>proportion of people with diabetes urgently referred to hospital eye services</w:t>
      </w:r>
      <w:r w:rsidR="00CC7525">
        <w:t xml:space="preserve"> within 6 weeks of their screening or </w:t>
      </w:r>
      <w:bookmarkEnd w:id="0"/>
      <w:r w:rsidR="0019709D">
        <w:fldChar w:fldCharType="begin"/>
      </w:r>
      <w:r w:rsidR="0019709D">
        <w:instrText xml:space="preserve"> HYPERLINK "https://www.gov.uk/government/publications/diabetic-eye-screening-surveillance-pathways/diabetic-eye-screening-surveillance-pathways" </w:instrText>
      </w:r>
      <w:r w:rsidR="0019709D">
        <w:fldChar w:fldCharType="separate"/>
      </w:r>
      <w:r w:rsidR="00CC7525" w:rsidRPr="007F3309">
        <w:rPr>
          <w:rStyle w:val="Hyperlink"/>
          <w:color w:val="auto"/>
          <w:u w:val="none"/>
        </w:rPr>
        <w:t>surveillance event</w:t>
      </w:r>
      <w:r w:rsidR="0019709D">
        <w:rPr>
          <w:rStyle w:val="Hyperlink"/>
          <w:color w:val="auto"/>
          <w:u w:val="none"/>
        </w:rPr>
        <w:fldChar w:fldCharType="end"/>
      </w:r>
      <w:r w:rsidR="00CC7525" w:rsidRPr="007F3309">
        <w:t xml:space="preserve">. </w:t>
      </w:r>
      <w:r w:rsidR="00B229F2">
        <w:t>It is important for people with R3A retinopathy (active proli</w:t>
      </w:r>
      <w:r w:rsidR="00873063">
        <w:t xml:space="preserve">ferative retinopathy) to be seen in hospital in a timely manner so that they can receive appropriate management. </w:t>
      </w:r>
    </w:p>
    <w:p w14:paraId="7B850386" w14:textId="77777777" w:rsidR="00873063" w:rsidRDefault="00873063" w:rsidP="00962911">
      <w:pPr>
        <w:pStyle w:val="PHEBodycopy"/>
        <w:ind w:right="-46"/>
      </w:pPr>
    </w:p>
    <w:p w14:paraId="11F97162" w14:textId="788BD2DA" w:rsidR="00830DF9" w:rsidRDefault="00CC7525" w:rsidP="00962911">
      <w:pPr>
        <w:pStyle w:val="PHEBodycopy"/>
        <w:ind w:right="-46"/>
      </w:pPr>
      <w:r>
        <w:t xml:space="preserve">The </w:t>
      </w:r>
      <w:r w:rsidR="007420D4">
        <w:t>proportion</w:t>
      </w:r>
      <w:r>
        <w:t xml:space="preserve"> was below the acceptable threshold of 80% prior to the pandemic. Between quarter 1 2017</w:t>
      </w:r>
      <w:r w:rsidR="00E94634">
        <w:t xml:space="preserve"> to 20</w:t>
      </w:r>
      <w:r>
        <w:t>18 and quarter 3 2019</w:t>
      </w:r>
      <w:r w:rsidR="00E94634">
        <w:t xml:space="preserve"> to 20</w:t>
      </w:r>
      <w:r w:rsidR="00E226C7">
        <w:t>20</w:t>
      </w:r>
      <w:r>
        <w:t xml:space="preserve">, the percentage of referrals seen on time ranged from 71.7% to 79.5%. Hospital eye services were most affected at the beginning of the </w:t>
      </w:r>
      <w:r w:rsidR="00E226C7">
        <w:t>pandemic when</w:t>
      </w:r>
      <w:r>
        <w:t xml:space="preserve"> 64.2%</w:t>
      </w:r>
      <w:r w:rsidR="00E006C2">
        <w:t xml:space="preserve"> of referrals were seen on time</w:t>
      </w:r>
      <w:r>
        <w:t xml:space="preserve"> in quarter 4 2019</w:t>
      </w:r>
      <w:r w:rsidR="00E94634">
        <w:t xml:space="preserve"> to 20</w:t>
      </w:r>
      <w:r>
        <w:t xml:space="preserve">20. </w:t>
      </w:r>
      <w:r w:rsidR="00281AB7">
        <w:t xml:space="preserve">In the most recent time period, quarter 4 2021 to 2022, 65.5% of urgent referrals were seen on time which is still below the acceptable threshold. </w:t>
      </w:r>
    </w:p>
    <w:p w14:paraId="1CB5D601" w14:textId="0F3B62BE" w:rsidR="00830DF9" w:rsidRPr="00830DF9" w:rsidRDefault="00E226C7" w:rsidP="00962911">
      <w:pPr>
        <w:pStyle w:val="PHEBodycopy"/>
        <w:ind w:right="-46"/>
        <w:rPr>
          <w:b/>
          <w:bCs/>
        </w:rPr>
      </w:pPr>
      <w:r>
        <w:rPr>
          <w:noProof/>
        </w:rPr>
        <w:lastRenderedPageBreak/>
        <w:drawing>
          <wp:anchor distT="0" distB="0" distL="114300" distR="114300" simplePos="0" relativeHeight="251658241" behindDoc="0" locked="0" layoutInCell="1" allowOverlap="1" wp14:anchorId="4FE45F6C" wp14:editId="3D02D7F7">
            <wp:simplePos x="0" y="0"/>
            <wp:positionH relativeFrom="margin">
              <wp:align>right</wp:align>
            </wp:positionH>
            <wp:positionV relativeFrom="paragraph">
              <wp:posOffset>701675</wp:posOffset>
            </wp:positionV>
            <wp:extent cx="5731510" cy="2621280"/>
            <wp:effectExtent l="0" t="0" r="2540" b="7620"/>
            <wp:wrapSquare wrapText="bothSides"/>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2621280"/>
                    </a:xfrm>
                    <a:prstGeom prst="rect">
                      <a:avLst/>
                    </a:prstGeom>
                  </pic:spPr>
                </pic:pic>
              </a:graphicData>
            </a:graphic>
          </wp:anchor>
        </w:drawing>
      </w:r>
      <w:r w:rsidR="00830DF9" w:rsidRPr="00830DF9">
        <w:rPr>
          <w:b/>
          <w:bCs/>
        </w:rPr>
        <w:t xml:space="preserve">Figure 2: Proportion of people urgently referred to hospital eye services who attended </w:t>
      </w:r>
      <w:r w:rsidR="00BD1AC0">
        <w:rPr>
          <w:b/>
          <w:bCs/>
        </w:rPr>
        <w:t>within</w:t>
      </w:r>
      <w:r w:rsidR="00830DF9" w:rsidRPr="00830DF9">
        <w:rPr>
          <w:b/>
          <w:bCs/>
        </w:rPr>
        <w:t xml:space="preserve"> 6 weeks of their screening or surveillance event, April 2017 to </w:t>
      </w:r>
      <w:r w:rsidR="00B058B5">
        <w:rPr>
          <w:b/>
          <w:bCs/>
        </w:rPr>
        <w:t xml:space="preserve">March </w:t>
      </w:r>
      <w:r w:rsidR="00830DF9" w:rsidRPr="00830DF9">
        <w:rPr>
          <w:b/>
          <w:bCs/>
        </w:rPr>
        <w:t>202</w:t>
      </w:r>
      <w:r w:rsidR="00B058B5">
        <w:rPr>
          <w:b/>
          <w:bCs/>
        </w:rPr>
        <w:t>2</w:t>
      </w:r>
      <w:r w:rsidR="00830DF9" w:rsidRPr="00830DF9">
        <w:rPr>
          <w:b/>
          <w:bCs/>
        </w:rPr>
        <w:t>, England</w:t>
      </w:r>
    </w:p>
    <w:p w14:paraId="4CAE0F4F" w14:textId="0E9CA44B" w:rsidR="00830DF9" w:rsidRDefault="00830DF9" w:rsidP="00962911">
      <w:pPr>
        <w:pStyle w:val="PHEBodycopy"/>
        <w:ind w:right="-46"/>
      </w:pPr>
    </w:p>
    <w:p w14:paraId="1E59C4A0" w14:textId="7BBBE17A" w:rsidR="00CC7525" w:rsidRPr="00347E81" w:rsidRDefault="00CC7525" w:rsidP="00CC7525">
      <w:pPr>
        <w:pStyle w:val="PHEBodycopy"/>
        <w:rPr>
          <w:i/>
          <w:iCs/>
        </w:rPr>
      </w:pPr>
      <w:r>
        <w:rPr>
          <w:rFonts w:cs="Arial"/>
          <w:i/>
          <w:iCs/>
          <w:color w:val="000000" w:themeColor="text1"/>
          <w:szCs w:val="24"/>
          <w:shd w:val="clear" w:color="auto" w:fill="FFFFFF"/>
        </w:rPr>
        <w:t>S</w:t>
      </w:r>
      <w:r w:rsidRPr="00347E81">
        <w:rPr>
          <w:rFonts w:cs="Arial"/>
          <w:i/>
          <w:iCs/>
          <w:color w:val="000000" w:themeColor="text1"/>
          <w:szCs w:val="24"/>
          <w:shd w:val="clear" w:color="auto" w:fill="FFFFFF"/>
        </w:rPr>
        <w:t xml:space="preserve">ource: Screening key performance indicators, NHS England </w:t>
      </w:r>
    </w:p>
    <w:p w14:paraId="4C394090" w14:textId="65BEFC26" w:rsidR="00830DF9" w:rsidRDefault="00830DF9" w:rsidP="00962911">
      <w:pPr>
        <w:pStyle w:val="PHEBodycopy"/>
        <w:ind w:right="-46"/>
      </w:pPr>
    </w:p>
    <w:p w14:paraId="6ADC21DE" w14:textId="368B0E84" w:rsidR="007435D3" w:rsidRPr="007435D3" w:rsidRDefault="007435D3" w:rsidP="00962911">
      <w:pPr>
        <w:pStyle w:val="PHEBodycopy"/>
        <w:ind w:right="-46"/>
        <w:rPr>
          <w:b/>
          <w:bCs/>
        </w:rPr>
      </w:pPr>
      <w:r w:rsidRPr="007435D3">
        <w:rPr>
          <w:b/>
          <w:bCs/>
        </w:rPr>
        <w:t>Sexual Health</w:t>
      </w:r>
    </w:p>
    <w:p w14:paraId="0FB8B28E" w14:textId="3BA69879" w:rsidR="007435D3" w:rsidRDefault="007435D3" w:rsidP="00962911">
      <w:pPr>
        <w:pStyle w:val="PHEBodycopy"/>
        <w:ind w:right="-46"/>
      </w:pPr>
    </w:p>
    <w:p w14:paraId="01343E37" w14:textId="1052B1BF" w:rsidR="007435D3" w:rsidRPr="007435D3" w:rsidRDefault="007435D3" w:rsidP="00962911">
      <w:pPr>
        <w:pStyle w:val="PHEBodycopy"/>
        <w:ind w:right="-46"/>
        <w:rPr>
          <w:b/>
          <w:bCs/>
        </w:rPr>
      </w:pPr>
      <w:r w:rsidRPr="007435D3">
        <w:rPr>
          <w:b/>
          <w:bCs/>
        </w:rPr>
        <w:t>Gonorrhoea</w:t>
      </w:r>
    </w:p>
    <w:p w14:paraId="4F79B67D" w14:textId="04A1CF00" w:rsidR="007435D3" w:rsidRDefault="007435D3" w:rsidP="00962911">
      <w:pPr>
        <w:pStyle w:val="PHEBodycopy"/>
        <w:ind w:right="-46"/>
      </w:pPr>
    </w:p>
    <w:p w14:paraId="4E8EE760" w14:textId="1EE83CAF" w:rsidR="007435D3" w:rsidRDefault="007435D3" w:rsidP="00962911">
      <w:pPr>
        <w:pStyle w:val="PHEBodycopy"/>
        <w:ind w:right="-46"/>
      </w:pPr>
      <w:r>
        <w:t xml:space="preserve">Figure </w:t>
      </w:r>
      <w:r w:rsidR="009E0DD8">
        <w:t>3</w:t>
      </w:r>
      <w:r>
        <w:t xml:space="preserve"> shows that g</w:t>
      </w:r>
      <w:r w:rsidRPr="007435D3">
        <w:t>onorrhoea diagnoses</w:t>
      </w:r>
      <w:r w:rsidR="00873063">
        <w:t xml:space="preserve"> from sexual health services with complete data</w:t>
      </w:r>
      <w:r w:rsidRPr="007435D3">
        <w:t xml:space="preserve"> in March, May and June 2022 exceed</w:t>
      </w:r>
      <w:r w:rsidR="008879CC">
        <w:t>ed</w:t>
      </w:r>
      <w:r w:rsidRPr="007435D3">
        <w:t xml:space="preserve"> those in </w:t>
      </w:r>
      <w:r w:rsidR="008879CC">
        <w:t xml:space="preserve">the </w:t>
      </w:r>
      <w:r w:rsidRPr="007435D3">
        <w:t xml:space="preserve">corresponding months </w:t>
      </w:r>
      <w:r w:rsidR="008879CC">
        <w:t xml:space="preserve">in </w:t>
      </w:r>
      <w:r w:rsidRPr="007435D3">
        <w:t>2020 and 2019</w:t>
      </w:r>
      <w:r>
        <w:t xml:space="preserve">. </w:t>
      </w:r>
      <w:r w:rsidR="0057371E" w:rsidDel="0057371E">
        <w:t xml:space="preserve"> </w:t>
      </w:r>
    </w:p>
    <w:p w14:paraId="06828B5B" w14:textId="77777777" w:rsidR="007435D3" w:rsidRDefault="007435D3" w:rsidP="00962911">
      <w:pPr>
        <w:pStyle w:val="PHEBodycopy"/>
        <w:ind w:right="-46"/>
      </w:pPr>
    </w:p>
    <w:p w14:paraId="253CD920" w14:textId="2B89398F" w:rsidR="007435D3" w:rsidRPr="007435D3" w:rsidRDefault="007435D3" w:rsidP="00962911">
      <w:pPr>
        <w:pStyle w:val="PHEBodycopy"/>
        <w:ind w:right="-46"/>
        <w:rPr>
          <w:b/>
          <w:bCs/>
        </w:rPr>
      </w:pPr>
      <w:r w:rsidRPr="007435D3">
        <w:rPr>
          <w:b/>
          <w:bCs/>
        </w:rPr>
        <w:t xml:space="preserve">Figure </w:t>
      </w:r>
      <w:r w:rsidR="009E0DD8">
        <w:rPr>
          <w:b/>
          <w:bCs/>
        </w:rPr>
        <w:t>3</w:t>
      </w:r>
      <w:r w:rsidRPr="007435D3">
        <w:rPr>
          <w:b/>
          <w:bCs/>
        </w:rPr>
        <w:t>: Number of gonorrhoea diagnoses in England</w:t>
      </w:r>
      <w:r w:rsidR="0057371E">
        <w:rPr>
          <w:b/>
          <w:bCs/>
        </w:rPr>
        <w:t xml:space="preserve">, </w:t>
      </w:r>
      <w:r w:rsidR="0057371E">
        <w:t>t</w:t>
      </w:r>
      <w:r w:rsidR="0057371E" w:rsidRPr="007435D3">
        <w:t>he bars compare data from sexual health services with complete data reported for January to December in 2019, 2020, 2021 and January to June 2022. The line represents the total number of diagnoses reported by all sexual health services (not only those with complete data over the time period) in each month in 2019, 2020, 2021 and 2022.</w:t>
      </w:r>
      <w:r w:rsidR="0057371E">
        <w:t xml:space="preserve"> </w:t>
      </w:r>
    </w:p>
    <w:p w14:paraId="7BE28AC8" w14:textId="77777777" w:rsidR="008C1BDD" w:rsidRDefault="008C1BDD" w:rsidP="00962911">
      <w:pPr>
        <w:pStyle w:val="PHEBodycopy"/>
        <w:ind w:right="-46"/>
      </w:pPr>
    </w:p>
    <w:p w14:paraId="19804F54" w14:textId="6719BBA3" w:rsidR="008C1BDD" w:rsidRDefault="008C1BDD" w:rsidP="00962911">
      <w:pPr>
        <w:pStyle w:val="PHEBodycopy"/>
        <w:ind w:right="-46"/>
      </w:pPr>
      <w:r>
        <w:rPr>
          <w:i/>
          <w:iCs/>
        </w:rPr>
        <w:lastRenderedPageBreak/>
        <w:t xml:space="preserve">Source: </w:t>
      </w:r>
      <w:r w:rsidRPr="008C1BDD">
        <w:rPr>
          <w:i/>
          <w:iCs/>
        </w:rPr>
        <w:t>GUMCAD STI Surveillance System, UK Health Security Agency (UKHSA)</w:t>
      </w:r>
      <w:r>
        <w:rPr>
          <w:noProof/>
        </w:rPr>
        <w:drawing>
          <wp:anchor distT="0" distB="0" distL="114300" distR="114300" simplePos="0" relativeHeight="251658242" behindDoc="0" locked="0" layoutInCell="1" allowOverlap="1" wp14:anchorId="70342E6B" wp14:editId="3123E3AA">
            <wp:simplePos x="0" y="0"/>
            <wp:positionH relativeFrom="margin">
              <wp:align>right</wp:align>
            </wp:positionH>
            <wp:positionV relativeFrom="paragraph">
              <wp:posOffset>0</wp:posOffset>
            </wp:positionV>
            <wp:extent cx="5731510" cy="4368800"/>
            <wp:effectExtent l="0" t="0" r="2540" b="0"/>
            <wp:wrapSquare wrapText="bothSides"/>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4368800"/>
                    </a:xfrm>
                    <a:prstGeom prst="rect">
                      <a:avLst/>
                    </a:prstGeom>
                  </pic:spPr>
                </pic:pic>
              </a:graphicData>
            </a:graphic>
          </wp:anchor>
        </w:drawing>
      </w:r>
    </w:p>
    <w:p w14:paraId="5BA0B18B" w14:textId="101B9E85" w:rsidR="007435D3" w:rsidRDefault="007435D3" w:rsidP="00962911">
      <w:pPr>
        <w:pStyle w:val="PHEBodycopy"/>
        <w:ind w:right="-46"/>
      </w:pPr>
    </w:p>
    <w:p w14:paraId="6FDBDA0C" w14:textId="5FCC9F1D" w:rsidR="007435D3" w:rsidRDefault="007435D3" w:rsidP="00962911">
      <w:pPr>
        <w:pStyle w:val="PHEBodycopy"/>
        <w:ind w:right="-46"/>
      </w:pPr>
      <w:r w:rsidRPr="007435D3">
        <w:t xml:space="preserve">The percentage of gonorrhoea diagnoses made </w:t>
      </w:r>
      <w:r w:rsidR="00CB5081">
        <w:t>using self-sampling kits provided by</w:t>
      </w:r>
      <w:r w:rsidRPr="007435D3">
        <w:t xml:space="preserve"> internet services in April to June 2022 is higher than that of the corresponding period in 2019</w:t>
      </w:r>
      <w:r>
        <w:t xml:space="preserve"> (Figure </w:t>
      </w:r>
      <w:r w:rsidR="009E0DD8">
        <w:t>4</w:t>
      </w:r>
      <w:r>
        <w:t>)</w:t>
      </w:r>
      <w:r w:rsidRPr="007435D3">
        <w:t xml:space="preserve">. This reflects the continued scale up of online self-sampling services to test for </w:t>
      </w:r>
      <w:r w:rsidR="00DD0DA3">
        <w:t>sexually transmitted infections (</w:t>
      </w:r>
      <w:r w:rsidRPr="007435D3">
        <w:t>STIs</w:t>
      </w:r>
      <w:r w:rsidR="00DD0DA3">
        <w:t>)</w:t>
      </w:r>
      <w:r w:rsidRPr="007435D3">
        <w:t>.</w:t>
      </w:r>
    </w:p>
    <w:p w14:paraId="6D405197" w14:textId="5786EE36" w:rsidR="007435D3" w:rsidRDefault="007435D3" w:rsidP="00962911">
      <w:pPr>
        <w:pStyle w:val="PHEBodycopy"/>
        <w:ind w:right="-46"/>
      </w:pPr>
    </w:p>
    <w:p w14:paraId="6E6D7E3B" w14:textId="54B19B89" w:rsidR="007435D3" w:rsidRPr="007435D3" w:rsidRDefault="007435D3" w:rsidP="00962911">
      <w:pPr>
        <w:pStyle w:val="PHEBodycopy"/>
        <w:ind w:right="-46"/>
        <w:rPr>
          <w:b/>
          <w:bCs/>
        </w:rPr>
      </w:pPr>
      <w:r w:rsidRPr="007435D3">
        <w:rPr>
          <w:b/>
          <w:bCs/>
        </w:rPr>
        <w:t xml:space="preserve">Figure </w:t>
      </w:r>
      <w:r w:rsidR="009E0DD8">
        <w:rPr>
          <w:b/>
          <w:bCs/>
        </w:rPr>
        <w:t>4</w:t>
      </w:r>
      <w:r w:rsidRPr="007435D3">
        <w:rPr>
          <w:b/>
          <w:bCs/>
        </w:rPr>
        <w:t>: Percentage of gonorrhoea diagnoses made in sexual health services that were diagnosed via internet testing, in England</w:t>
      </w:r>
    </w:p>
    <w:p w14:paraId="494D70B8" w14:textId="3AEA10B2" w:rsidR="007435D3" w:rsidRDefault="007435D3" w:rsidP="00962911">
      <w:pPr>
        <w:pStyle w:val="PHEBodycopy"/>
        <w:ind w:right="-46"/>
      </w:pPr>
    </w:p>
    <w:p w14:paraId="478D8A41" w14:textId="77777777" w:rsidR="007435D3" w:rsidRDefault="007435D3" w:rsidP="00962911">
      <w:pPr>
        <w:pStyle w:val="PHEBodycopy"/>
        <w:ind w:right="-46"/>
      </w:pPr>
    </w:p>
    <w:p w14:paraId="454DCC7F" w14:textId="77777777" w:rsidR="007435D3" w:rsidRDefault="007435D3" w:rsidP="00962911">
      <w:pPr>
        <w:pStyle w:val="PHEBodycopy"/>
        <w:ind w:right="-46"/>
      </w:pPr>
    </w:p>
    <w:p w14:paraId="789B7040" w14:textId="77777777" w:rsidR="007435D3" w:rsidRDefault="007435D3" w:rsidP="00962911">
      <w:pPr>
        <w:pStyle w:val="PHEBodycopy"/>
        <w:ind w:right="-46"/>
      </w:pPr>
    </w:p>
    <w:p w14:paraId="4CC36991" w14:textId="77777777" w:rsidR="007435D3" w:rsidRDefault="007435D3" w:rsidP="00962911">
      <w:pPr>
        <w:pStyle w:val="PHEBodycopy"/>
        <w:ind w:right="-46"/>
      </w:pPr>
    </w:p>
    <w:p w14:paraId="776D27B6" w14:textId="77777777" w:rsidR="007435D3" w:rsidRDefault="007435D3" w:rsidP="00962911">
      <w:pPr>
        <w:pStyle w:val="PHEBodycopy"/>
        <w:ind w:right="-46"/>
      </w:pPr>
    </w:p>
    <w:p w14:paraId="65A033EA" w14:textId="77777777" w:rsidR="007435D3" w:rsidRDefault="007435D3" w:rsidP="00962911">
      <w:pPr>
        <w:pStyle w:val="PHEBodycopy"/>
        <w:ind w:right="-46"/>
      </w:pPr>
    </w:p>
    <w:p w14:paraId="39555A40" w14:textId="7CE42984" w:rsidR="007435D3" w:rsidRDefault="008C1BDD" w:rsidP="00962911">
      <w:pPr>
        <w:pStyle w:val="PHEBodycopy"/>
        <w:ind w:right="-46"/>
      </w:pPr>
      <w:r>
        <w:rPr>
          <w:i/>
          <w:iCs/>
        </w:rPr>
        <w:lastRenderedPageBreak/>
        <w:t xml:space="preserve">Source: </w:t>
      </w:r>
      <w:r w:rsidRPr="008C1BDD">
        <w:rPr>
          <w:i/>
          <w:iCs/>
        </w:rPr>
        <w:t>GUMCAD STI Surveillance System, UK Health Security Agency (UKHSA)</w:t>
      </w:r>
      <w:r w:rsidR="007435D3">
        <w:rPr>
          <w:noProof/>
        </w:rPr>
        <w:drawing>
          <wp:anchor distT="0" distB="0" distL="114300" distR="114300" simplePos="0" relativeHeight="251658243" behindDoc="0" locked="0" layoutInCell="1" allowOverlap="1" wp14:anchorId="1BD98788" wp14:editId="48E1CECB">
            <wp:simplePos x="0" y="0"/>
            <wp:positionH relativeFrom="margin">
              <wp:align>right</wp:align>
            </wp:positionH>
            <wp:positionV relativeFrom="paragraph">
              <wp:posOffset>0</wp:posOffset>
            </wp:positionV>
            <wp:extent cx="5731510" cy="4368800"/>
            <wp:effectExtent l="0" t="0" r="2540" b="0"/>
            <wp:wrapSquare wrapText="bothSides"/>
            <wp:docPr id="9" name="Picture 9"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 histo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4368800"/>
                    </a:xfrm>
                    <a:prstGeom prst="rect">
                      <a:avLst/>
                    </a:prstGeom>
                  </pic:spPr>
                </pic:pic>
              </a:graphicData>
            </a:graphic>
          </wp:anchor>
        </w:drawing>
      </w:r>
    </w:p>
    <w:p w14:paraId="72D7ED85" w14:textId="77777777" w:rsidR="007435D3" w:rsidRDefault="007435D3" w:rsidP="00962911">
      <w:pPr>
        <w:pStyle w:val="PHEBodycopy"/>
        <w:ind w:right="-46"/>
      </w:pPr>
    </w:p>
    <w:p w14:paraId="408F4BF0" w14:textId="3D97E311" w:rsidR="007435D3" w:rsidRPr="00F956C1" w:rsidRDefault="00F956C1" w:rsidP="00962911">
      <w:pPr>
        <w:pStyle w:val="PHEBodycopy"/>
        <w:ind w:right="-46"/>
        <w:rPr>
          <w:b/>
          <w:bCs/>
        </w:rPr>
      </w:pPr>
      <w:r w:rsidRPr="00F956C1">
        <w:rPr>
          <w:b/>
          <w:bCs/>
        </w:rPr>
        <w:t>Syphilis</w:t>
      </w:r>
    </w:p>
    <w:p w14:paraId="6319E679" w14:textId="73AB8BE4" w:rsidR="00F956C1" w:rsidRDefault="00F956C1" w:rsidP="00962911">
      <w:pPr>
        <w:pStyle w:val="PHEBodycopy"/>
        <w:ind w:right="-46"/>
      </w:pPr>
    </w:p>
    <w:p w14:paraId="1722A52A" w14:textId="72153661" w:rsidR="00F956C1" w:rsidRDefault="00F956C1" w:rsidP="00962911">
      <w:pPr>
        <w:pStyle w:val="PHEBodycopy"/>
        <w:ind w:right="-46"/>
      </w:pPr>
      <w:r>
        <w:t xml:space="preserve">Figure </w:t>
      </w:r>
      <w:r w:rsidR="009E0DD8">
        <w:t>5</w:t>
      </w:r>
      <w:r>
        <w:t xml:space="preserve"> shows that t</w:t>
      </w:r>
      <w:r w:rsidRPr="00F956C1">
        <w:t>he number of syphilis diagnoses</w:t>
      </w:r>
      <w:r w:rsidR="00D94FD4">
        <w:t xml:space="preserve"> in sexual health services with complete data</w:t>
      </w:r>
      <w:r w:rsidRPr="00F956C1">
        <w:t xml:space="preserve"> was higher in January to June 2022 compared to the corresponding period in 2019</w:t>
      </w:r>
      <w:r>
        <w:t xml:space="preserve">. </w:t>
      </w:r>
    </w:p>
    <w:p w14:paraId="57B47925" w14:textId="41986945" w:rsidR="00F956C1" w:rsidRDefault="00F956C1" w:rsidP="00962911">
      <w:pPr>
        <w:pStyle w:val="PHEBodycopy"/>
        <w:ind w:right="-46"/>
      </w:pPr>
    </w:p>
    <w:p w14:paraId="0F0B425A" w14:textId="30A5C12A" w:rsidR="00F956C1" w:rsidRPr="00F956C1" w:rsidRDefault="00F956C1" w:rsidP="00962911">
      <w:pPr>
        <w:pStyle w:val="PHEBodycopy"/>
        <w:ind w:right="-46"/>
        <w:rPr>
          <w:b/>
          <w:bCs/>
        </w:rPr>
      </w:pPr>
      <w:r w:rsidRPr="00F956C1">
        <w:rPr>
          <w:b/>
          <w:bCs/>
        </w:rPr>
        <w:t xml:space="preserve">Figure </w:t>
      </w:r>
      <w:r w:rsidR="009E0DD8">
        <w:rPr>
          <w:b/>
          <w:bCs/>
        </w:rPr>
        <w:t>5</w:t>
      </w:r>
      <w:r w:rsidRPr="00F956C1">
        <w:rPr>
          <w:b/>
          <w:bCs/>
        </w:rPr>
        <w:t>: Number of syphilis diagnoses in England</w:t>
      </w:r>
      <w:r>
        <w:rPr>
          <w:b/>
          <w:bCs/>
        </w:rPr>
        <w:t xml:space="preserve">, </w:t>
      </w:r>
      <w:r w:rsidRPr="00F956C1">
        <w:t>the bars compare data from sexual health services with complete data. The line represents the total number of diagnoses reported by all sexual health services (not only those with complete data over the time period).</w:t>
      </w:r>
    </w:p>
    <w:p w14:paraId="4D14E391" w14:textId="606E8220" w:rsidR="00F956C1" w:rsidRDefault="00F956C1" w:rsidP="00962911">
      <w:pPr>
        <w:pStyle w:val="PHEBodycopy"/>
        <w:ind w:right="-46"/>
      </w:pPr>
    </w:p>
    <w:p w14:paraId="0A82FD37" w14:textId="5E38D68F" w:rsidR="00F956C1" w:rsidRDefault="00F956C1" w:rsidP="00962911">
      <w:pPr>
        <w:pStyle w:val="PHEBodycopy"/>
        <w:ind w:right="-46"/>
      </w:pPr>
    </w:p>
    <w:p w14:paraId="458C12E7" w14:textId="29BDF16D" w:rsidR="00F956C1" w:rsidRDefault="00F956C1" w:rsidP="00962911">
      <w:pPr>
        <w:pStyle w:val="PHEBodycopy"/>
        <w:ind w:right="-46"/>
      </w:pPr>
    </w:p>
    <w:p w14:paraId="76E39D57" w14:textId="1517FC08" w:rsidR="00F956C1" w:rsidRDefault="00F956C1" w:rsidP="00962911">
      <w:pPr>
        <w:pStyle w:val="PHEBodycopy"/>
        <w:ind w:right="-46"/>
      </w:pPr>
    </w:p>
    <w:p w14:paraId="542C8843" w14:textId="4B744583" w:rsidR="00F956C1" w:rsidRDefault="00F956C1" w:rsidP="00962911">
      <w:pPr>
        <w:pStyle w:val="PHEBodycopy"/>
        <w:ind w:right="-46"/>
      </w:pPr>
    </w:p>
    <w:p w14:paraId="469B7DE5" w14:textId="563982B9" w:rsidR="00F956C1" w:rsidRDefault="00F956C1" w:rsidP="00962911">
      <w:pPr>
        <w:pStyle w:val="PHEBodycopy"/>
        <w:ind w:right="-46"/>
      </w:pPr>
    </w:p>
    <w:p w14:paraId="7758C673" w14:textId="23C2226A" w:rsidR="00F956C1" w:rsidRDefault="00F956C1" w:rsidP="00962911">
      <w:pPr>
        <w:pStyle w:val="PHEBodycopy"/>
        <w:ind w:right="-46"/>
      </w:pPr>
    </w:p>
    <w:p w14:paraId="69AF0111" w14:textId="79C8CABB" w:rsidR="00F956C1" w:rsidRDefault="00F956C1" w:rsidP="00962911">
      <w:pPr>
        <w:pStyle w:val="PHEBodycopy"/>
        <w:ind w:right="-46"/>
      </w:pPr>
    </w:p>
    <w:p w14:paraId="271654CE" w14:textId="1EC039D4" w:rsidR="00F956C1" w:rsidRDefault="00F956C1" w:rsidP="00962911">
      <w:pPr>
        <w:pStyle w:val="PHEBodycopy"/>
        <w:ind w:right="-46"/>
      </w:pPr>
    </w:p>
    <w:p w14:paraId="4F774F6F" w14:textId="2F2F31DD" w:rsidR="00F956C1" w:rsidRDefault="00F956C1" w:rsidP="00962911">
      <w:pPr>
        <w:pStyle w:val="PHEBodycopy"/>
        <w:ind w:right="-46"/>
      </w:pPr>
    </w:p>
    <w:p w14:paraId="4098AB46" w14:textId="3BEF7AEA" w:rsidR="00F956C1" w:rsidRDefault="00F956C1" w:rsidP="00962911">
      <w:pPr>
        <w:pStyle w:val="PHEBodycopy"/>
        <w:ind w:right="-46"/>
      </w:pPr>
    </w:p>
    <w:p w14:paraId="6D4B3EB8" w14:textId="58199866" w:rsidR="00F956C1" w:rsidRDefault="008C1BDD" w:rsidP="00962911">
      <w:pPr>
        <w:pStyle w:val="PHEBodycopy"/>
        <w:ind w:right="-46"/>
      </w:pPr>
      <w:r>
        <w:rPr>
          <w:i/>
          <w:iCs/>
        </w:rPr>
        <w:t xml:space="preserve">Source: </w:t>
      </w:r>
      <w:r w:rsidRPr="008C1BDD">
        <w:rPr>
          <w:i/>
          <w:iCs/>
        </w:rPr>
        <w:t>GUMCAD STI Surveillance System, UK Health Security Agency (UKHSA)</w:t>
      </w:r>
      <w:r w:rsidR="00F956C1">
        <w:rPr>
          <w:noProof/>
        </w:rPr>
        <w:drawing>
          <wp:anchor distT="0" distB="0" distL="114300" distR="114300" simplePos="0" relativeHeight="251658244" behindDoc="0" locked="0" layoutInCell="1" allowOverlap="1" wp14:anchorId="2CB5AD51" wp14:editId="19C71A04">
            <wp:simplePos x="0" y="0"/>
            <wp:positionH relativeFrom="margin">
              <wp:align>right</wp:align>
            </wp:positionH>
            <wp:positionV relativeFrom="paragraph">
              <wp:posOffset>0</wp:posOffset>
            </wp:positionV>
            <wp:extent cx="5731510" cy="4368800"/>
            <wp:effectExtent l="0" t="0" r="2540" b="0"/>
            <wp:wrapSquare wrapText="bothSides"/>
            <wp:docPr id="10" name="Picture 10"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 histo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4368800"/>
                    </a:xfrm>
                    <a:prstGeom prst="rect">
                      <a:avLst/>
                    </a:prstGeom>
                  </pic:spPr>
                </pic:pic>
              </a:graphicData>
            </a:graphic>
          </wp:anchor>
        </w:drawing>
      </w:r>
    </w:p>
    <w:p w14:paraId="199ADF99" w14:textId="77777777" w:rsidR="00F956C1" w:rsidRDefault="00F956C1" w:rsidP="00962911">
      <w:pPr>
        <w:pStyle w:val="PHEBodycopy"/>
        <w:ind w:right="-46"/>
      </w:pPr>
    </w:p>
    <w:p w14:paraId="67DC0AA8" w14:textId="2EB31E46" w:rsidR="00F956C1" w:rsidRDefault="00F956C1" w:rsidP="00962911">
      <w:pPr>
        <w:pStyle w:val="PHEBodycopy"/>
        <w:ind w:right="-46"/>
        <w:rPr>
          <w:b/>
          <w:bCs/>
        </w:rPr>
      </w:pPr>
      <w:r>
        <w:rPr>
          <w:b/>
          <w:bCs/>
        </w:rPr>
        <w:t>Bacterial STI tests</w:t>
      </w:r>
    </w:p>
    <w:p w14:paraId="289D3C5F" w14:textId="3321D34B" w:rsidR="00F956C1" w:rsidRDefault="00F956C1" w:rsidP="00962911">
      <w:pPr>
        <w:pStyle w:val="PHEBodycopy"/>
        <w:ind w:right="-46"/>
      </w:pPr>
    </w:p>
    <w:p w14:paraId="33B3A25D" w14:textId="28809581" w:rsidR="00F956C1" w:rsidRPr="00F956C1" w:rsidRDefault="005922CF" w:rsidP="00962911">
      <w:pPr>
        <w:pStyle w:val="PHEBodycopy"/>
        <w:ind w:right="-46"/>
      </w:pPr>
      <w:r>
        <w:t xml:space="preserve">Figure 6 shows that the </w:t>
      </w:r>
      <w:r w:rsidR="00F956C1" w:rsidRPr="00F956C1">
        <w:t>monthly number of bacterial STI tests in 2022 has not returned to 2019 levels</w:t>
      </w:r>
      <w:r>
        <w:t>.</w:t>
      </w:r>
    </w:p>
    <w:p w14:paraId="3704B7D5" w14:textId="7AFBCF39" w:rsidR="00F956C1" w:rsidRDefault="00F956C1" w:rsidP="00962911">
      <w:pPr>
        <w:pStyle w:val="PHEBodycopy"/>
        <w:ind w:right="-46"/>
      </w:pPr>
    </w:p>
    <w:p w14:paraId="2949AFF9" w14:textId="62D523C3" w:rsidR="00F956C1" w:rsidRDefault="00F956C1" w:rsidP="00962911">
      <w:pPr>
        <w:pStyle w:val="PHEBodycopy"/>
        <w:ind w:right="-46"/>
        <w:rPr>
          <w:b/>
          <w:bCs/>
        </w:rPr>
      </w:pPr>
      <w:r w:rsidRPr="00F956C1">
        <w:rPr>
          <w:b/>
          <w:bCs/>
        </w:rPr>
        <w:t xml:space="preserve">Figure </w:t>
      </w:r>
      <w:r w:rsidR="009E0DD8">
        <w:rPr>
          <w:b/>
          <w:bCs/>
        </w:rPr>
        <w:t>6</w:t>
      </w:r>
      <w:r w:rsidRPr="00F956C1">
        <w:rPr>
          <w:b/>
          <w:bCs/>
        </w:rPr>
        <w:t xml:space="preserve">: Number of bacterial STI tests (excluding chlamydia in </w:t>
      </w:r>
      <w:r w:rsidR="007C28D8">
        <w:rPr>
          <w:b/>
          <w:bCs/>
        </w:rPr>
        <w:t xml:space="preserve">under </w:t>
      </w:r>
      <w:proofErr w:type="gramStart"/>
      <w:r w:rsidRPr="00F956C1">
        <w:rPr>
          <w:b/>
          <w:bCs/>
        </w:rPr>
        <w:t>25 year olds</w:t>
      </w:r>
      <w:proofErr w:type="gramEnd"/>
      <w:r w:rsidRPr="00F956C1">
        <w:rPr>
          <w:b/>
          <w:bCs/>
        </w:rPr>
        <w:t>) in England</w:t>
      </w:r>
      <w:r>
        <w:rPr>
          <w:b/>
          <w:bCs/>
        </w:rPr>
        <w:t xml:space="preserve"> by year, </w:t>
      </w:r>
      <w:r w:rsidRPr="00F956C1">
        <w:t>the bars compare data from sexual health services with complete data. The line represents the total number of diagnoses reported by all sexual health services (not only those with complete data over the time period).</w:t>
      </w:r>
    </w:p>
    <w:p w14:paraId="0464BCDF" w14:textId="27AE6FBC" w:rsidR="00F956C1" w:rsidRDefault="00F956C1" w:rsidP="00962911">
      <w:pPr>
        <w:pStyle w:val="PHEBodycopy"/>
        <w:ind w:right="-46"/>
      </w:pPr>
    </w:p>
    <w:p w14:paraId="56E711B8" w14:textId="77777777" w:rsidR="00F956C1" w:rsidRDefault="00F956C1" w:rsidP="00962911">
      <w:pPr>
        <w:pStyle w:val="PHEBodycopy"/>
        <w:ind w:right="-46"/>
      </w:pPr>
    </w:p>
    <w:p w14:paraId="7E279A17" w14:textId="77777777" w:rsidR="00F956C1" w:rsidRDefault="00F956C1" w:rsidP="00962911">
      <w:pPr>
        <w:pStyle w:val="PHEBodycopy"/>
        <w:ind w:right="-46"/>
      </w:pPr>
    </w:p>
    <w:p w14:paraId="657CD113" w14:textId="77777777" w:rsidR="00F956C1" w:rsidRDefault="00F956C1" w:rsidP="00962911">
      <w:pPr>
        <w:pStyle w:val="PHEBodycopy"/>
        <w:ind w:right="-46"/>
      </w:pPr>
    </w:p>
    <w:p w14:paraId="0B7043DA" w14:textId="77777777" w:rsidR="00F956C1" w:rsidRDefault="00F956C1" w:rsidP="00962911">
      <w:pPr>
        <w:pStyle w:val="PHEBodycopy"/>
        <w:ind w:right="-46"/>
      </w:pPr>
    </w:p>
    <w:p w14:paraId="12E065C0" w14:textId="77777777" w:rsidR="00F956C1" w:rsidRDefault="00F956C1" w:rsidP="00962911">
      <w:pPr>
        <w:pStyle w:val="PHEBodycopy"/>
        <w:ind w:right="-46"/>
      </w:pPr>
    </w:p>
    <w:p w14:paraId="7CE1D671" w14:textId="77777777" w:rsidR="00F956C1" w:rsidRDefault="00F956C1" w:rsidP="00962911">
      <w:pPr>
        <w:pStyle w:val="PHEBodycopy"/>
        <w:ind w:right="-46"/>
      </w:pPr>
    </w:p>
    <w:p w14:paraId="560D8766" w14:textId="77777777" w:rsidR="00F956C1" w:rsidRDefault="00F956C1" w:rsidP="00962911">
      <w:pPr>
        <w:pStyle w:val="PHEBodycopy"/>
        <w:ind w:right="-46"/>
      </w:pPr>
    </w:p>
    <w:p w14:paraId="67787EF7" w14:textId="77777777" w:rsidR="00F956C1" w:rsidRDefault="00F956C1" w:rsidP="00962911">
      <w:pPr>
        <w:pStyle w:val="PHEBodycopy"/>
        <w:ind w:right="-46"/>
      </w:pPr>
    </w:p>
    <w:p w14:paraId="1AF08436" w14:textId="77777777" w:rsidR="00F956C1" w:rsidRDefault="00F956C1" w:rsidP="00962911">
      <w:pPr>
        <w:pStyle w:val="PHEBodycopy"/>
        <w:ind w:right="-46"/>
      </w:pPr>
    </w:p>
    <w:p w14:paraId="3B1A5841" w14:textId="04B11C24" w:rsidR="00F956C1" w:rsidRPr="008C1BDD" w:rsidRDefault="008C1BDD" w:rsidP="00962911">
      <w:pPr>
        <w:pStyle w:val="PHEBodycopy"/>
        <w:ind w:right="-46"/>
        <w:rPr>
          <w:i/>
          <w:iCs/>
        </w:rPr>
      </w:pPr>
      <w:r w:rsidRPr="008C1BDD">
        <w:rPr>
          <w:i/>
          <w:iCs/>
        </w:rPr>
        <w:lastRenderedPageBreak/>
        <w:t>Source: CTAD and GUMCAD STI Surveillance Systems, UK Health Security Agency (UKHSA)</w:t>
      </w:r>
      <w:r w:rsidR="00F956C1" w:rsidRPr="008C1BDD">
        <w:rPr>
          <w:i/>
          <w:iCs/>
          <w:noProof/>
        </w:rPr>
        <w:drawing>
          <wp:anchor distT="0" distB="0" distL="114300" distR="114300" simplePos="0" relativeHeight="251658246" behindDoc="0" locked="0" layoutInCell="1" allowOverlap="1" wp14:anchorId="48AC6D94" wp14:editId="063DBDE2">
            <wp:simplePos x="0" y="0"/>
            <wp:positionH relativeFrom="margin">
              <wp:align>right</wp:align>
            </wp:positionH>
            <wp:positionV relativeFrom="paragraph">
              <wp:posOffset>0</wp:posOffset>
            </wp:positionV>
            <wp:extent cx="5731510" cy="4368800"/>
            <wp:effectExtent l="0" t="0" r="2540" b="0"/>
            <wp:wrapSquare wrapText="bothSides"/>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4368800"/>
                    </a:xfrm>
                    <a:prstGeom prst="rect">
                      <a:avLst/>
                    </a:prstGeom>
                  </pic:spPr>
                </pic:pic>
              </a:graphicData>
            </a:graphic>
          </wp:anchor>
        </w:drawing>
      </w:r>
    </w:p>
    <w:p w14:paraId="4F756609" w14:textId="2B91CAC8" w:rsidR="00F956C1" w:rsidRDefault="00F956C1" w:rsidP="00962911">
      <w:pPr>
        <w:pStyle w:val="PHEBodycopy"/>
        <w:ind w:right="-46"/>
      </w:pPr>
    </w:p>
    <w:p w14:paraId="6A014607" w14:textId="3DBCDCB4" w:rsidR="00F956C1" w:rsidRDefault="00F956C1" w:rsidP="00962911">
      <w:pPr>
        <w:pStyle w:val="PHEBodycopy"/>
        <w:ind w:right="-46"/>
      </w:pPr>
      <w:bookmarkStart w:id="1" w:name="_Hlk121905349"/>
      <w:r>
        <w:t xml:space="preserve">Figure </w:t>
      </w:r>
      <w:r w:rsidR="009E0DD8">
        <w:t>7</w:t>
      </w:r>
      <w:r w:rsidR="004F23E6">
        <w:t xml:space="preserve"> shows that t</w:t>
      </w:r>
      <w:r w:rsidRPr="00F956C1">
        <w:t>he percentage of bacterial STI tests conducted using self-sampling kits provided by internet services in April to June 2022 is higher than that of the corresponding period in 2019. This reflects the continued scale up of online self-sampling services to test for STIs.</w:t>
      </w:r>
    </w:p>
    <w:bookmarkEnd w:id="1"/>
    <w:p w14:paraId="0A927573" w14:textId="2FB07460" w:rsidR="004F23E6" w:rsidRDefault="004F23E6" w:rsidP="00962911">
      <w:pPr>
        <w:pStyle w:val="PHEBodycopy"/>
        <w:ind w:right="-46"/>
      </w:pPr>
    </w:p>
    <w:p w14:paraId="1F6D582D" w14:textId="4F6BAABF" w:rsidR="004F23E6" w:rsidRDefault="004F23E6" w:rsidP="00962911">
      <w:pPr>
        <w:pStyle w:val="PHEBodycopy"/>
        <w:ind w:right="-46"/>
        <w:rPr>
          <w:b/>
          <w:bCs/>
        </w:rPr>
      </w:pPr>
      <w:r w:rsidRPr="004F23E6">
        <w:rPr>
          <w:b/>
          <w:bCs/>
        </w:rPr>
        <w:t xml:space="preserve">Figure </w:t>
      </w:r>
      <w:r w:rsidR="009E0DD8">
        <w:rPr>
          <w:b/>
          <w:bCs/>
        </w:rPr>
        <w:t>7</w:t>
      </w:r>
      <w:r w:rsidRPr="004F23E6">
        <w:rPr>
          <w:b/>
          <w:bCs/>
        </w:rPr>
        <w:t xml:space="preserve">: Percentage of bacterial STI tests (excluding chlamydia in </w:t>
      </w:r>
      <w:r w:rsidR="007C28D8">
        <w:rPr>
          <w:b/>
          <w:bCs/>
        </w:rPr>
        <w:t xml:space="preserve">under </w:t>
      </w:r>
      <w:proofErr w:type="gramStart"/>
      <w:r w:rsidRPr="004F23E6">
        <w:rPr>
          <w:b/>
          <w:bCs/>
        </w:rPr>
        <w:t>25 year olds</w:t>
      </w:r>
      <w:proofErr w:type="gramEnd"/>
      <w:r w:rsidRPr="004F23E6">
        <w:rPr>
          <w:b/>
          <w:bCs/>
        </w:rPr>
        <w:t>) in England by year</w:t>
      </w:r>
    </w:p>
    <w:p w14:paraId="0AAF5B4F" w14:textId="54BFACBC" w:rsidR="00837863" w:rsidRDefault="00837863" w:rsidP="00962911">
      <w:pPr>
        <w:pStyle w:val="PHEBodycopy"/>
        <w:ind w:right="-46"/>
        <w:rPr>
          <w:b/>
          <w:bCs/>
        </w:rPr>
      </w:pPr>
    </w:p>
    <w:p w14:paraId="6E819E97" w14:textId="3DBA2445" w:rsidR="004F23E6" w:rsidRDefault="004F23E6" w:rsidP="00962911">
      <w:pPr>
        <w:pStyle w:val="PHEBodycopy"/>
        <w:ind w:right="-46"/>
        <w:rPr>
          <w:b/>
          <w:bCs/>
        </w:rPr>
      </w:pPr>
    </w:p>
    <w:p w14:paraId="290E3699" w14:textId="215142A8" w:rsidR="00837863" w:rsidRDefault="00837863" w:rsidP="00962911">
      <w:pPr>
        <w:pStyle w:val="PHEBodycopy"/>
        <w:ind w:right="-46"/>
        <w:rPr>
          <w:b/>
          <w:bCs/>
        </w:rPr>
      </w:pPr>
    </w:p>
    <w:p w14:paraId="4576EDEA" w14:textId="7E91FD66" w:rsidR="00837863" w:rsidRDefault="00837863" w:rsidP="00962911">
      <w:pPr>
        <w:pStyle w:val="PHEBodycopy"/>
        <w:ind w:right="-46"/>
        <w:rPr>
          <w:b/>
          <w:bCs/>
        </w:rPr>
      </w:pPr>
    </w:p>
    <w:p w14:paraId="41B338A0" w14:textId="139034A9" w:rsidR="00837863" w:rsidRDefault="00837863" w:rsidP="00962911">
      <w:pPr>
        <w:pStyle w:val="PHEBodycopy"/>
        <w:ind w:right="-46"/>
        <w:rPr>
          <w:b/>
          <w:bCs/>
        </w:rPr>
      </w:pPr>
    </w:p>
    <w:p w14:paraId="1E40E567" w14:textId="3AAD6820" w:rsidR="00837863" w:rsidRDefault="00837863" w:rsidP="00962911">
      <w:pPr>
        <w:pStyle w:val="PHEBodycopy"/>
        <w:ind w:right="-46"/>
        <w:rPr>
          <w:b/>
          <w:bCs/>
        </w:rPr>
      </w:pPr>
    </w:p>
    <w:p w14:paraId="298066F2" w14:textId="3DFA2B27" w:rsidR="00837863" w:rsidRDefault="00837863" w:rsidP="00962911">
      <w:pPr>
        <w:pStyle w:val="PHEBodycopy"/>
        <w:ind w:right="-46"/>
        <w:rPr>
          <w:b/>
          <w:bCs/>
        </w:rPr>
      </w:pPr>
    </w:p>
    <w:p w14:paraId="41565DD2" w14:textId="295A1549" w:rsidR="00837863" w:rsidRDefault="00837863" w:rsidP="00962911">
      <w:pPr>
        <w:pStyle w:val="PHEBodycopy"/>
        <w:ind w:right="-46"/>
        <w:rPr>
          <w:b/>
          <w:bCs/>
        </w:rPr>
      </w:pPr>
    </w:p>
    <w:p w14:paraId="7FEF5CBE" w14:textId="1CC5F351" w:rsidR="00837863" w:rsidRDefault="00837863" w:rsidP="00962911">
      <w:pPr>
        <w:pStyle w:val="PHEBodycopy"/>
        <w:ind w:right="-46"/>
        <w:rPr>
          <w:b/>
          <w:bCs/>
        </w:rPr>
      </w:pPr>
    </w:p>
    <w:p w14:paraId="71141B80" w14:textId="2B6FFCBB" w:rsidR="00837863" w:rsidRDefault="00837863" w:rsidP="00962911">
      <w:pPr>
        <w:pStyle w:val="PHEBodycopy"/>
        <w:ind w:right="-46"/>
        <w:rPr>
          <w:b/>
          <w:bCs/>
        </w:rPr>
      </w:pPr>
    </w:p>
    <w:p w14:paraId="023F55E6" w14:textId="52CF025D" w:rsidR="00837863" w:rsidRDefault="00837863" w:rsidP="00962911">
      <w:pPr>
        <w:pStyle w:val="PHEBodycopy"/>
        <w:ind w:right="-46"/>
        <w:rPr>
          <w:b/>
          <w:bCs/>
        </w:rPr>
      </w:pPr>
    </w:p>
    <w:p w14:paraId="6A9A9143" w14:textId="46C3A243" w:rsidR="00837863" w:rsidRDefault="00837863" w:rsidP="00962911">
      <w:pPr>
        <w:pStyle w:val="PHEBodycopy"/>
        <w:ind w:right="-46"/>
        <w:rPr>
          <w:b/>
          <w:bCs/>
        </w:rPr>
      </w:pPr>
    </w:p>
    <w:p w14:paraId="5A34C5E5" w14:textId="2C8BDB2C" w:rsidR="00837863" w:rsidRPr="003F6A12" w:rsidRDefault="003F6A12" w:rsidP="00962911">
      <w:pPr>
        <w:pStyle w:val="PHEBodycopy"/>
        <w:ind w:right="-46"/>
        <w:rPr>
          <w:i/>
          <w:iCs/>
        </w:rPr>
      </w:pPr>
      <w:r w:rsidRPr="003F6A12">
        <w:rPr>
          <w:i/>
          <w:iCs/>
        </w:rPr>
        <w:lastRenderedPageBreak/>
        <w:t>Source: CTAD and GUMCAD STI Surveillance Systems, UK Health Security Agency (UKHSA)</w:t>
      </w:r>
      <w:r w:rsidRPr="003F6A12">
        <w:rPr>
          <w:i/>
          <w:iCs/>
          <w:noProof/>
        </w:rPr>
        <w:drawing>
          <wp:anchor distT="0" distB="0" distL="114300" distR="114300" simplePos="0" relativeHeight="251658248" behindDoc="0" locked="0" layoutInCell="1" allowOverlap="1" wp14:anchorId="78DE637F" wp14:editId="09AA43F2">
            <wp:simplePos x="0" y="0"/>
            <wp:positionH relativeFrom="margin">
              <wp:align>right</wp:align>
            </wp:positionH>
            <wp:positionV relativeFrom="paragraph">
              <wp:posOffset>0</wp:posOffset>
            </wp:positionV>
            <wp:extent cx="5731510" cy="4368800"/>
            <wp:effectExtent l="0" t="0" r="2540" b="0"/>
            <wp:wrapSquare wrapText="bothSides"/>
            <wp:docPr id="14" name="Picture 14"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ar chart, histo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4368800"/>
                    </a:xfrm>
                    <a:prstGeom prst="rect">
                      <a:avLst/>
                    </a:prstGeom>
                  </pic:spPr>
                </pic:pic>
              </a:graphicData>
            </a:graphic>
          </wp:anchor>
        </w:drawing>
      </w:r>
    </w:p>
    <w:p w14:paraId="6F0EF8C1" w14:textId="77777777" w:rsidR="003F6A12" w:rsidRDefault="003F6A12" w:rsidP="00962911">
      <w:pPr>
        <w:pStyle w:val="PHEBodycopy"/>
        <w:ind w:right="-46"/>
      </w:pPr>
    </w:p>
    <w:p w14:paraId="15A29B08" w14:textId="45D4E6AA" w:rsidR="004F23E6" w:rsidRDefault="00691309" w:rsidP="00962911">
      <w:pPr>
        <w:pStyle w:val="PHEBodycopy"/>
        <w:ind w:right="-46"/>
      </w:pPr>
      <w:r>
        <w:t>T</w:t>
      </w:r>
      <w:r w:rsidR="004F23E6" w:rsidRPr="004F23E6">
        <w:t xml:space="preserve">he proportion of bacterial STI tests </w:t>
      </w:r>
      <w:r w:rsidR="009F7137">
        <w:t>a</w:t>
      </w:r>
      <w:r w:rsidR="006D1335" w:rsidRPr="004F23E6">
        <w:t xml:space="preserve">mong gay, bisexual and other men who have sex with men (GBMSM) </w:t>
      </w:r>
      <w:r w:rsidR="004F23E6" w:rsidRPr="004F23E6">
        <w:t>steadily increased between 2019 and 2022</w:t>
      </w:r>
      <w:r w:rsidR="004F23E6">
        <w:t xml:space="preserve"> (Figure </w:t>
      </w:r>
      <w:r w:rsidR="009E0DD8">
        <w:t>8</w:t>
      </w:r>
      <w:r w:rsidR="004F23E6">
        <w:t>)</w:t>
      </w:r>
      <w:r w:rsidR="004F23E6" w:rsidRPr="004F23E6">
        <w:t>.</w:t>
      </w:r>
    </w:p>
    <w:p w14:paraId="032B403C" w14:textId="3C59B7F5" w:rsidR="004F23E6" w:rsidRDefault="004F23E6" w:rsidP="00962911">
      <w:pPr>
        <w:pStyle w:val="PHEBodycopy"/>
        <w:ind w:right="-46"/>
      </w:pPr>
    </w:p>
    <w:p w14:paraId="55291F77" w14:textId="4778CCD9" w:rsidR="004F23E6" w:rsidRPr="004F23E6" w:rsidRDefault="004F23E6" w:rsidP="00962911">
      <w:pPr>
        <w:pStyle w:val="PHEBodycopy"/>
        <w:ind w:right="-46"/>
        <w:rPr>
          <w:b/>
          <w:bCs/>
        </w:rPr>
      </w:pPr>
      <w:r w:rsidRPr="004F23E6">
        <w:rPr>
          <w:b/>
          <w:bCs/>
        </w:rPr>
        <w:t xml:space="preserve">Figure </w:t>
      </w:r>
      <w:r w:rsidR="009E0DD8">
        <w:rPr>
          <w:b/>
          <w:bCs/>
        </w:rPr>
        <w:t>8</w:t>
      </w:r>
      <w:r w:rsidRPr="004F23E6">
        <w:rPr>
          <w:b/>
          <w:bCs/>
        </w:rPr>
        <w:t xml:space="preserve">: Percentage of bacterial STI tests (excluding chlamydia in </w:t>
      </w:r>
      <w:r w:rsidR="007C28D8">
        <w:rPr>
          <w:b/>
          <w:bCs/>
        </w:rPr>
        <w:t xml:space="preserve">under </w:t>
      </w:r>
      <w:proofErr w:type="gramStart"/>
      <w:r w:rsidRPr="004F23E6">
        <w:rPr>
          <w:b/>
          <w:bCs/>
        </w:rPr>
        <w:t>25 year olds</w:t>
      </w:r>
      <w:proofErr w:type="gramEnd"/>
      <w:r w:rsidRPr="004F23E6">
        <w:rPr>
          <w:b/>
          <w:bCs/>
        </w:rPr>
        <w:t>) in England, by sexual orientation</w:t>
      </w:r>
    </w:p>
    <w:p w14:paraId="2CB96877" w14:textId="570D90E2" w:rsidR="004F23E6" w:rsidRDefault="004F23E6" w:rsidP="00962911">
      <w:pPr>
        <w:pStyle w:val="PHEBodycopy"/>
        <w:ind w:right="-46"/>
      </w:pPr>
    </w:p>
    <w:p w14:paraId="1753A433" w14:textId="1CE38E9B" w:rsidR="004F23E6" w:rsidRDefault="004F23E6" w:rsidP="00962911">
      <w:pPr>
        <w:pStyle w:val="PHEBodycopy"/>
        <w:ind w:right="-46"/>
      </w:pPr>
    </w:p>
    <w:p w14:paraId="60E28DD3" w14:textId="0A1B601D" w:rsidR="00240121" w:rsidRDefault="00240121" w:rsidP="00962911">
      <w:pPr>
        <w:pStyle w:val="PHEBodycopy"/>
        <w:ind w:right="-46"/>
      </w:pPr>
    </w:p>
    <w:p w14:paraId="57430197" w14:textId="40A0DB84" w:rsidR="00240121" w:rsidRDefault="00240121" w:rsidP="00962911">
      <w:pPr>
        <w:pStyle w:val="PHEBodycopy"/>
        <w:ind w:right="-46"/>
      </w:pPr>
    </w:p>
    <w:p w14:paraId="761232BD" w14:textId="33316A0E" w:rsidR="00240121" w:rsidRDefault="00240121" w:rsidP="00962911">
      <w:pPr>
        <w:pStyle w:val="PHEBodycopy"/>
        <w:ind w:right="-46"/>
      </w:pPr>
    </w:p>
    <w:p w14:paraId="09BE7C6C" w14:textId="6BB7ECD6" w:rsidR="00240121" w:rsidRDefault="00240121" w:rsidP="00962911">
      <w:pPr>
        <w:pStyle w:val="PHEBodycopy"/>
        <w:ind w:right="-46"/>
      </w:pPr>
    </w:p>
    <w:p w14:paraId="0A05B107" w14:textId="17650095" w:rsidR="00240121" w:rsidRDefault="00240121" w:rsidP="00962911">
      <w:pPr>
        <w:pStyle w:val="PHEBodycopy"/>
        <w:ind w:right="-46"/>
      </w:pPr>
    </w:p>
    <w:p w14:paraId="18D41FF6" w14:textId="1CDACCF4" w:rsidR="00240121" w:rsidRDefault="00240121" w:rsidP="00962911">
      <w:pPr>
        <w:pStyle w:val="PHEBodycopy"/>
        <w:ind w:right="-46"/>
      </w:pPr>
    </w:p>
    <w:p w14:paraId="10F5630B" w14:textId="30E54B87" w:rsidR="00240121" w:rsidRDefault="00240121" w:rsidP="00962911">
      <w:pPr>
        <w:pStyle w:val="PHEBodycopy"/>
        <w:ind w:right="-46"/>
      </w:pPr>
    </w:p>
    <w:p w14:paraId="678F4C2A" w14:textId="7F69C417" w:rsidR="00240121" w:rsidRDefault="00240121" w:rsidP="00962911">
      <w:pPr>
        <w:pStyle w:val="PHEBodycopy"/>
        <w:ind w:right="-46"/>
      </w:pPr>
    </w:p>
    <w:p w14:paraId="1794A895" w14:textId="3D142A48" w:rsidR="00240121" w:rsidRDefault="00240121" w:rsidP="00962911">
      <w:pPr>
        <w:pStyle w:val="PHEBodycopy"/>
        <w:ind w:right="-46"/>
      </w:pPr>
    </w:p>
    <w:p w14:paraId="49A6D0F1" w14:textId="1FAA7DA7" w:rsidR="00240121" w:rsidRDefault="00240121" w:rsidP="00962911">
      <w:pPr>
        <w:pStyle w:val="PHEBodycopy"/>
        <w:ind w:right="-46"/>
      </w:pPr>
    </w:p>
    <w:p w14:paraId="6AA329CF" w14:textId="1087E89B" w:rsidR="00240121" w:rsidRDefault="00240121" w:rsidP="00962911">
      <w:pPr>
        <w:pStyle w:val="PHEBodycopy"/>
        <w:ind w:right="-46"/>
      </w:pPr>
    </w:p>
    <w:p w14:paraId="059DCB96" w14:textId="6EB89B2E" w:rsidR="00240121" w:rsidRPr="00240121" w:rsidRDefault="003F6A12" w:rsidP="00962911">
      <w:pPr>
        <w:pStyle w:val="PHEBodycopy"/>
        <w:ind w:right="-46"/>
        <w:rPr>
          <w:b/>
          <w:bCs/>
        </w:rPr>
      </w:pPr>
      <w:r>
        <w:rPr>
          <w:noProof/>
        </w:rPr>
        <w:lastRenderedPageBreak/>
        <w:drawing>
          <wp:anchor distT="0" distB="0" distL="114300" distR="114300" simplePos="0" relativeHeight="251658249" behindDoc="0" locked="0" layoutInCell="1" allowOverlap="1" wp14:anchorId="318A9DBB" wp14:editId="63FD6145">
            <wp:simplePos x="0" y="0"/>
            <wp:positionH relativeFrom="margin">
              <wp:align>right</wp:align>
            </wp:positionH>
            <wp:positionV relativeFrom="paragraph">
              <wp:posOffset>0</wp:posOffset>
            </wp:positionV>
            <wp:extent cx="5731510" cy="4368800"/>
            <wp:effectExtent l="0" t="0" r="2540" b="0"/>
            <wp:wrapSquare wrapText="bothSides"/>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ar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4368800"/>
                    </a:xfrm>
                    <a:prstGeom prst="rect">
                      <a:avLst/>
                    </a:prstGeom>
                  </pic:spPr>
                </pic:pic>
              </a:graphicData>
            </a:graphic>
          </wp:anchor>
        </w:drawing>
      </w:r>
      <w:r>
        <w:rPr>
          <w:b/>
          <w:bCs/>
        </w:rPr>
        <w:t>Chart n</w:t>
      </w:r>
      <w:r w:rsidR="00240121" w:rsidRPr="00240121">
        <w:rPr>
          <w:b/>
          <w:bCs/>
        </w:rPr>
        <w:t>ote:</w:t>
      </w:r>
    </w:p>
    <w:p w14:paraId="11BBD4F7" w14:textId="4BB1C59E" w:rsidR="00240121" w:rsidRDefault="00240121" w:rsidP="00240121">
      <w:pPr>
        <w:pStyle w:val="PHEBodycopy"/>
        <w:ind w:right="-46"/>
      </w:pPr>
      <w:r>
        <w:t>MSW       Heterosexual men who have sex with women</w:t>
      </w:r>
    </w:p>
    <w:p w14:paraId="223D2711" w14:textId="7DF71C21" w:rsidR="00240121" w:rsidRDefault="00240121" w:rsidP="00240121">
      <w:pPr>
        <w:pStyle w:val="PHEBodycopy"/>
        <w:ind w:right="-46"/>
      </w:pPr>
      <w:r>
        <w:t>WSM       Heterosexual and bisexual women who have sex with men</w:t>
      </w:r>
    </w:p>
    <w:p w14:paraId="53AA5C68" w14:textId="0BFF271C" w:rsidR="00240121" w:rsidRDefault="00240121" w:rsidP="00240121">
      <w:pPr>
        <w:pStyle w:val="PHEBodycopy"/>
        <w:ind w:right="-46"/>
      </w:pPr>
      <w:proofErr w:type="gramStart"/>
      <w:r>
        <w:t>GBMSM  Gay</w:t>
      </w:r>
      <w:proofErr w:type="gramEnd"/>
      <w:r>
        <w:t>, bisexual and other men who have sex with men</w:t>
      </w:r>
    </w:p>
    <w:p w14:paraId="44DD8737" w14:textId="49A7F6BE" w:rsidR="00240121" w:rsidRPr="00240121" w:rsidRDefault="00240121" w:rsidP="00240121">
      <w:pPr>
        <w:pStyle w:val="PHEBodycopy"/>
        <w:ind w:right="-46"/>
      </w:pPr>
      <w:r>
        <w:t>WSW       Lesbians and other women who have sex with women</w:t>
      </w:r>
    </w:p>
    <w:p w14:paraId="09CA1608" w14:textId="4D4935C8" w:rsidR="00240121" w:rsidRDefault="00240121" w:rsidP="00962911">
      <w:pPr>
        <w:pStyle w:val="PHEBodycopy"/>
        <w:ind w:right="-46"/>
        <w:rPr>
          <w:b/>
          <w:bCs/>
        </w:rPr>
      </w:pPr>
    </w:p>
    <w:p w14:paraId="0CA126C1" w14:textId="41D75931" w:rsidR="003F6A12" w:rsidRDefault="003F6A12" w:rsidP="00962911">
      <w:pPr>
        <w:pStyle w:val="PHEBodycopy"/>
        <w:ind w:right="-46"/>
        <w:rPr>
          <w:b/>
          <w:bCs/>
        </w:rPr>
      </w:pPr>
      <w:r w:rsidRPr="003F6A12">
        <w:rPr>
          <w:i/>
          <w:iCs/>
        </w:rPr>
        <w:t>Source: CTAD and GUMCAD STI Surveillance Systems, UK Health Security Agency (UKHSA)</w:t>
      </w:r>
    </w:p>
    <w:p w14:paraId="66EA804F" w14:textId="77777777" w:rsidR="003F6A12" w:rsidRDefault="003F6A12" w:rsidP="00962911">
      <w:pPr>
        <w:pStyle w:val="PHEBodycopy"/>
        <w:ind w:right="-46"/>
        <w:rPr>
          <w:b/>
          <w:bCs/>
        </w:rPr>
      </w:pPr>
    </w:p>
    <w:p w14:paraId="675704F5" w14:textId="12296EFE" w:rsidR="004F23E6" w:rsidRDefault="004F23E6" w:rsidP="00962911">
      <w:pPr>
        <w:pStyle w:val="PHEBodycopy"/>
        <w:ind w:right="-46"/>
        <w:rPr>
          <w:b/>
          <w:bCs/>
        </w:rPr>
      </w:pPr>
      <w:r>
        <w:rPr>
          <w:b/>
          <w:bCs/>
        </w:rPr>
        <w:t xml:space="preserve">Chlamydia </w:t>
      </w:r>
    </w:p>
    <w:p w14:paraId="6922E73E" w14:textId="084C78DE" w:rsidR="004F23E6" w:rsidRDefault="004F23E6" w:rsidP="00962911">
      <w:pPr>
        <w:pStyle w:val="PHEBodycopy"/>
        <w:ind w:right="-46"/>
      </w:pPr>
    </w:p>
    <w:p w14:paraId="67D1990A" w14:textId="168FDADD" w:rsidR="004F23E6" w:rsidRDefault="004F23E6" w:rsidP="00962911">
      <w:pPr>
        <w:pStyle w:val="PHEBodycopy"/>
        <w:ind w:right="-46"/>
      </w:pPr>
      <w:r>
        <w:t xml:space="preserve">Figure </w:t>
      </w:r>
      <w:r w:rsidR="009E0DD8">
        <w:t>9</w:t>
      </w:r>
      <w:r>
        <w:t xml:space="preserve"> shows that t</w:t>
      </w:r>
      <w:r w:rsidRPr="004F23E6">
        <w:t xml:space="preserve">he number of chlamydia tests in </w:t>
      </w:r>
      <w:proofErr w:type="gramStart"/>
      <w:r w:rsidRPr="004F23E6">
        <w:t>15</w:t>
      </w:r>
      <w:r w:rsidR="007C28D8">
        <w:t xml:space="preserve"> to </w:t>
      </w:r>
      <w:r w:rsidRPr="004F23E6">
        <w:t>24 year olds</w:t>
      </w:r>
      <w:proofErr w:type="gramEnd"/>
      <w:r w:rsidRPr="004F23E6">
        <w:t xml:space="preserve"> was lower in January to June 2022 compared to the corresponding period in 2019.</w:t>
      </w:r>
    </w:p>
    <w:p w14:paraId="58BD6713" w14:textId="77777777" w:rsidR="00240121" w:rsidRDefault="00240121" w:rsidP="00962911">
      <w:pPr>
        <w:pStyle w:val="PHEBodycopy"/>
        <w:ind w:right="-46"/>
      </w:pPr>
    </w:p>
    <w:p w14:paraId="70CC1B55" w14:textId="541868C9" w:rsidR="004F23E6" w:rsidRDefault="004F23E6" w:rsidP="00962911">
      <w:pPr>
        <w:pStyle w:val="PHEBodycopy"/>
        <w:ind w:right="-46"/>
        <w:rPr>
          <w:b/>
          <w:bCs/>
        </w:rPr>
      </w:pPr>
      <w:r w:rsidRPr="004F23E6">
        <w:rPr>
          <w:b/>
          <w:bCs/>
        </w:rPr>
        <w:t xml:space="preserve">Figure </w:t>
      </w:r>
      <w:r w:rsidR="009E0DD8">
        <w:rPr>
          <w:b/>
          <w:bCs/>
        </w:rPr>
        <w:t>9</w:t>
      </w:r>
      <w:r w:rsidRPr="004F23E6">
        <w:rPr>
          <w:b/>
          <w:bCs/>
        </w:rPr>
        <w:t xml:space="preserve">: </w:t>
      </w:r>
      <w:r w:rsidR="009E0DD8" w:rsidRPr="009E0DD8">
        <w:rPr>
          <w:b/>
          <w:bCs/>
        </w:rPr>
        <w:t xml:space="preserve">Number of chlamydia tests in </w:t>
      </w:r>
      <w:proofErr w:type="gramStart"/>
      <w:r w:rsidR="009E0DD8" w:rsidRPr="009E0DD8">
        <w:rPr>
          <w:b/>
          <w:bCs/>
        </w:rPr>
        <w:t>15</w:t>
      </w:r>
      <w:r w:rsidR="007C28D8">
        <w:rPr>
          <w:b/>
          <w:bCs/>
        </w:rPr>
        <w:t xml:space="preserve"> to </w:t>
      </w:r>
      <w:r w:rsidR="009E0DD8" w:rsidRPr="009E0DD8">
        <w:rPr>
          <w:b/>
          <w:bCs/>
        </w:rPr>
        <w:t>24 year olds</w:t>
      </w:r>
      <w:proofErr w:type="gramEnd"/>
      <w:r w:rsidR="009E0DD8" w:rsidRPr="009E0DD8">
        <w:rPr>
          <w:b/>
          <w:bCs/>
        </w:rPr>
        <w:t xml:space="preserve"> at sexual health services</w:t>
      </w:r>
    </w:p>
    <w:p w14:paraId="22BE6905" w14:textId="7DCFACF8" w:rsidR="00240121" w:rsidRDefault="00240121" w:rsidP="00962911">
      <w:pPr>
        <w:pStyle w:val="PHEBodycopy"/>
        <w:ind w:right="-46"/>
        <w:rPr>
          <w:b/>
          <w:bCs/>
        </w:rPr>
      </w:pPr>
    </w:p>
    <w:p w14:paraId="05126B76" w14:textId="2BFA7540" w:rsidR="003F6A12" w:rsidRDefault="003F6A12" w:rsidP="00962911">
      <w:pPr>
        <w:pStyle w:val="PHEBodycopy"/>
        <w:ind w:right="-46"/>
        <w:rPr>
          <w:b/>
          <w:bCs/>
        </w:rPr>
      </w:pPr>
    </w:p>
    <w:p w14:paraId="6EB10D03" w14:textId="28D9E514" w:rsidR="003F6A12" w:rsidRDefault="003F6A12" w:rsidP="00962911">
      <w:pPr>
        <w:pStyle w:val="PHEBodycopy"/>
        <w:ind w:right="-46"/>
        <w:rPr>
          <w:b/>
          <w:bCs/>
        </w:rPr>
      </w:pPr>
    </w:p>
    <w:p w14:paraId="3F391B8C" w14:textId="51DDE0E3" w:rsidR="003F6A12" w:rsidRDefault="003F6A12" w:rsidP="00962911">
      <w:pPr>
        <w:pStyle w:val="PHEBodycopy"/>
        <w:ind w:right="-46"/>
        <w:rPr>
          <w:b/>
          <w:bCs/>
        </w:rPr>
      </w:pPr>
    </w:p>
    <w:p w14:paraId="6D390100" w14:textId="7CF3A615" w:rsidR="003F6A12" w:rsidRDefault="003F6A12" w:rsidP="00962911">
      <w:pPr>
        <w:pStyle w:val="PHEBodycopy"/>
        <w:ind w:right="-46"/>
        <w:rPr>
          <w:b/>
          <w:bCs/>
        </w:rPr>
      </w:pPr>
    </w:p>
    <w:p w14:paraId="6FCE6DC8" w14:textId="4A35F4AD" w:rsidR="003F6A12" w:rsidRDefault="009F440F" w:rsidP="00962911">
      <w:pPr>
        <w:pStyle w:val="PHEBodycopy"/>
        <w:ind w:right="-46"/>
        <w:rPr>
          <w:b/>
          <w:bCs/>
        </w:rPr>
      </w:pPr>
      <w:r>
        <w:rPr>
          <w:b/>
          <w:bCs/>
          <w:noProof/>
        </w:rPr>
        <w:lastRenderedPageBreak/>
        <w:drawing>
          <wp:anchor distT="0" distB="0" distL="114300" distR="114300" simplePos="0" relativeHeight="251658752" behindDoc="0" locked="0" layoutInCell="1" allowOverlap="1" wp14:anchorId="456FA936" wp14:editId="3ECED162">
            <wp:simplePos x="0" y="0"/>
            <wp:positionH relativeFrom="margin">
              <wp:posOffset>-2540</wp:posOffset>
            </wp:positionH>
            <wp:positionV relativeFrom="paragraph">
              <wp:posOffset>200025</wp:posOffset>
            </wp:positionV>
            <wp:extent cx="5731510" cy="4368800"/>
            <wp:effectExtent l="0" t="0" r="2540" b="0"/>
            <wp:wrapSquare wrapText="bothSides"/>
            <wp:docPr id="3" name="Picture 3"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 histo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4368800"/>
                    </a:xfrm>
                    <a:prstGeom prst="rect">
                      <a:avLst/>
                    </a:prstGeom>
                  </pic:spPr>
                </pic:pic>
              </a:graphicData>
            </a:graphic>
          </wp:anchor>
        </w:drawing>
      </w:r>
    </w:p>
    <w:p w14:paraId="11A0626F" w14:textId="1C832BF7" w:rsidR="00873063" w:rsidRDefault="00873063" w:rsidP="00962911">
      <w:pPr>
        <w:pStyle w:val="PHEBodycopy"/>
        <w:ind w:right="-46"/>
        <w:rPr>
          <w:b/>
          <w:bCs/>
        </w:rPr>
      </w:pPr>
      <w:r>
        <w:rPr>
          <w:b/>
          <w:bCs/>
        </w:rPr>
        <w:t>Chart note:</w:t>
      </w:r>
    </w:p>
    <w:p w14:paraId="2EA6C6E7" w14:textId="76119843" w:rsidR="00873063" w:rsidRDefault="00873063" w:rsidP="00962911">
      <w:pPr>
        <w:pStyle w:val="PHEBodycopy"/>
        <w:ind w:right="-46"/>
      </w:pPr>
      <w:r w:rsidRPr="00873063">
        <w:t>Sexual health services (SHSs) include both specialist (level 3) and non-specialist (level 1 &amp; 2) SHSs</w:t>
      </w:r>
      <w:r w:rsidR="004456C8">
        <w:t>. S</w:t>
      </w:r>
      <w:r w:rsidR="004456C8" w:rsidRPr="004456C8">
        <w:t>pecialist SHSs refers to genitourinary medicine (GUM) and integrated GUM/sexual and reproductive health (SRH)</w:t>
      </w:r>
    </w:p>
    <w:p w14:paraId="5046F471" w14:textId="3AC1D541" w:rsidR="00873063" w:rsidRDefault="00873063" w:rsidP="00962911">
      <w:pPr>
        <w:pStyle w:val="PHEBodycopy"/>
        <w:ind w:right="-46"/>
      </w:pPr>
      <w:r w:rsidRPr="00873063">
        <w:t>Community based testing refers to young people’s services, online sexual health services, termination of pregnancy services, pharmacies, outreach and general practice, and other community-based settings.</w:t>
      </w:r>
    </w:p>
    <w:p w14:paraId="59AE3EB4" w14:textId="50ECFCB0" w:rsidR="003F6A12" w:rsidRDefault="003F6A12" w:rsidP="00962911">
      <w:pPr>
        <w:pStyle w:val="PHEBodycopy"/>
        <w:ind w:right="-46"/>
        <w:rPr>
          <w:b/>
          <w:bCs/>
        </w:rPr>
      </w:pPr>
    </w:p>
    <w:p w14:paraId="3F4DAF65" w14:textId="04B80426" w:rsidR="003F6A12" w:rsidRDefault="003F6A12" w:rsidP="00962911">
      <w:pPr>
        <w:pStyle w:val="PHEBodycopy"/>
        <w:ind w:right="-46"/>
        <w:rPr>
          <w:b/>
          <w:bCs/>
        </w:rPr>
      </w:pPr>
      <w:r w:rsidRPr="003F6A12">
        <w:rPr>
          <w:i/>
          <w:iCs/>
        </w:rPr>
        <w:t>Source: CTAD and GUMCAD STI Surveillance Systems, UK Health Security Agency (UKHSA)</w:t>
      </w:r>
    </w:p>
    <w:p w14:paraId="2F4BCB3A" w14:textId="59F9443C" w:rsidR="00E249FB" w:rsidRPr="00925EE9" w:rsidRDefault="00E249FB" w:rsidP="00962911">
      <w:pPr>
        <w:pStyle w:val="PHEBodycopy"/>
        <w:ind w:right="-46"/>
        <w:rPr>
          <w:b/>
          <w:bCs/>
        </w:rPr>
      </w:pPr>
    </w:p>
    <w:p w14:paraId="2CA1B234" w14:textId="1D9C4823" w:rsidR="00E249FB" w:rsidRDefault="00E249FB" w:rsidP="00962911">
      <w:pPr>
        <w:pStyle w:val="PHEBodycopy"/>
        <w:ind w:right="-46"/>
      </w:pPr>
      <w:r>
        <w:t xml:space="preserve">Between January 2019 and February 2020, specialist sexual health services (SHS) were the most common provider of chlamydia tests in </w:t>
      </w:r>
      <w:proofErr w:type="gramStart"/>
      <w:r>
        <w:t>15</w:t>
      </w:r>
      <w:r w:rsidR="007C28D8">
        <w:t xml:space="preserve"> to </w:t>
      </w:r>
      <w:r>
        <w:t>24 year olds</w:t>
      </w:r>
      <w:proofErr w:type="gramEnd"/>
      <w:r w:rsidR="004757C4">
        <w:t xml:space="preserve"> (Figure 10)</w:t>
      </w:r>
      <w:r>
        <w:t>. In March 2020</w:t>
      </w:r>
      <w:r w:rsidR="00925EE9">
        <w:t xml:space="preserve"> that changed to internet services, which have remained the most common provider up to the most recent month of data in June 2022. </w:t>
      </w:r>
    </w:p>
    <w:p w14:paraId="68AA0EDE" w14:textId="5F09530E" w:rsidR="009E0DD8" w:rsidRDefault="009E0DD8" w:rsidP="00962911">
      <w:pPr>
        <w:pStyle w:val="PHEBodycopy"/>
        <w:ind w:right="-46"/>
      </w:pPr>
    </w:p>
    <w:p w14:paraId="03C43C52" w14:textId="3D2F35F7" w:rsidR="009E0DD8" w:rsidRDefault="009E0DD8" w:rsidP="00962911">
      <w:pPr>
        <w:pStyle w:val="PHEBodycopy"/>
        <w:ind w:right="-46"/>
        <w:rPr>
          <w:b/>
          <w:bCs/>
        </w:rPr>
      </w:pPr>
      <w:r w:rsidRPr="009E0DD8">
        <w:rPr>
          <w:b/>
          <w:bCs/>
        </w:rPr>
        <w:t>Figure 1</w:t>
      </w:r>
      <w:r>
        <w:rPr>
          <w:b/>
          <w:bCs/>
        </w:rPr>
        <w:t>0</w:t>
      </w:r>
      <w:r w:rsidRPr="009E0DD8">
        <w:rPr>
          <w:b/>
          <w:bCs/>
        </w:rPr>
        <w:t xml:space="preserve">: Percentage of chlamydia tests in </w:t>
      </w:r>
      <w:proofErr w:type="gramStart"/>
      <w:r w:rsidRPr="009E0DD8">
        <w:rPr>
          <w:b/>
          <w:bCs/>
        </w:rPr>
        <w:t>15</w:t>
      </w:r>
      <w:r w:rsidR="007C28D8">
        <w:rPr>
          <w:b/>
          <w:bCs/>
        </w:rPr>
        <w:t xml:space="preserve"> to </w:t>
      </w:r>
      <w:r w:rsidRPr="009E0DD8">
        <w:rPr>
          <w:b/>
          <w:bCs/>
        </w:rPr>
        <w:t>24 year olds</w:t>
      </w:r>
      <w:proofErr w:type="gramEnd"/>
      <w:r w:rsidRPr="009E0DD8">
        <w:rPr>
          <w:b/>
          <w:bCs/>
        </w:rPr>
        <w:t xml:space="preserve"> in England, by testing service type</w:t>
      </w:r>
    </w:p>
    <w:p w14:paraId="5E7B0E30" w14:textId="683B363A" w:rsidR="009E0DD8" w:rsidRDefault="009E0DD8" w:rsidP="00962911">
      <w:pPr>
        <w:pStyle w:val="PHEBodycopy"/>
        <w:ind w:right="-46"/>
        <w:rPr>
          <w:b/>
          <w:bCs/>
        </w:rPr>
      </w:pPr>
    </w:p>
    <w:p w14:paraId="6440DE20" w14:textId="27965761" w:rsidR="00240121" w:rsidRDefault="00240121" w:rsidP="00962911">
      <w:pPr>
        <w:pStyle w:val="PHEBodycopy"/>
        <w:ind w:right="-46"/>
        <w:rPr>
          <w:b/>
          <w:bCs/>
        </w:rPr>
      </w:pPr>
    </w:p>
    <w:p w14:paraId="4DA2F157" w14:textId="7F116CEB" w:rsidR="00240121" w:rsidRDefault="00240121" w:rsidP="00962911">
      <w:pPr>
        <w:pStyle w:val="PHEBodycopy"/>
        <w:ind w:right="-46"/>
        <w:rPr>
          <w:b/>
          <w:bCs/>
        </w:rPr>
      </w:pPr>
    </w:p>
    <w:p w14:paraId="5A8C7D2A" w14:textId="5AAA8F98" w:rsidR="00240121" w:rsidRDefault="00240121" w:rsidP="00962911">
      <w:pPr>
        <w:pStyle w:val="PHEBodycopy"/>
        <w:ind w:right="-46"/>
        <w:rPr>
          <w:b/>
          <w:bCs/>
        </w:rPr>
      </w:pPr>
    </w:p>
    <w:p w14:paraId="5C53A42A" w14:textId="10B7B97E" w:rsidR="00240121" w:rsidRDefault="004456C8" w:rsidP="00962911">
      <w:pPr>
        <w:pStyle w:val="PHEBodycopy"/>
        <w:ind w:right="-46"/>
        <w:rPr>
          <w:b/>
          <w:bCs/>
        </w:rPr>
      </w:pPr>
      <w:r>
        <w:rPr>
          <w:b/>
          <w:bCs/>
          <w:noProof/>
        </w:rPr>
        <w:drawing>
          <wp:anchor distT="0" distB="0" distL="114300" distR="114300" simplePos="0" relativeHeight="251658245" behindDoc="0" locked="0" layoutInCell="1" allowOverlap="1" wp14:anchorId="59DCEAC6" wp14:editId="588329D6">
            <wp:simplePos x="0" y="0"/>
            <wp:positionH relativeFrom="margin">
              <wp:posOffset>168910</wp:posOffset>
            </wp:positionH>
            <wp:positionV relativeFrom="paragraph">
              <wp:posOffset>0</wp:posOffset>
            </wp:positionV>
            <wp:extent cx="5731510" cy="4368800"/>
            <wp:effectExtent l="0" t="0" r="2540" b="0"/>
            <wp:wrapSquare wrapText="bothSides"/>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31510" cy="4368800"/>
                    </a:xfrm>
                    <a:prstGeom prst="rect">
                      <a:avLst/>
                    </a:prstGeom>
                  </pic:spPr>
                </pic:pic>
              </a:graphicData>
            </a:graphic>
          </wp:anchor>
        </w:drawing>
      </w:r>
    </w:p>
    <w:p w14:paraId="6716CE24" w14:textId="0529F047" w:rsidR="00240121" w:rsidRDefault="004456C8" w:rsidP="00962911">
      <w:pPr>
        <w:pStyle w:val="PHEBodycopy"/>
        <w:ind w:right="-46"/>
        <w:rPr>
          <w:b/>
          <w:bCs/>
        </w:rPr>
      </w:pPr>
      <w:r>
        <w:rPr>
          <w:b/>
          <w:bCs/>
        </w:rPr>
        <w:t>Chart note:</w:t>
      </w:r>
    </w:p>
    <w:p w14:paraId="200A10C0" w14:textId="1EBEB875" w:rsidR="004456C8" w:rsidRDefault="004456C8" w:rsidP="00962911">
      <w:pPr>
        <w:pStyle w:val="PHEBodycopy"/>
        <w:ind w:right="-46"/>
      </w:pPr>
      <w:r>
        <w:t>GP – general practice</w:t>
      </w:r>
    </w:p>
    <w:p w14:paraId="59A9A0FE" w14:textId="24369C25" w:rsidR="004456C8" w:rsidRDefault="004456C8" w:rsidP="00962911">
      <w:pPr>
        <w:pStyle w:val="PHEBodycopy"/>
        <w:ind w:right="-46"/>
      </w:pPr>
      <w:r>
        <w:t>Internet – self-sampling kits provided by internet services</w:t>
      </w:r>
    </w:p>
    <w:p w14:paraId="5E111061" w14:textId="1DF163AD" w:rsidR="004456C8" w:rsidRDefault="004456C8" w:rsidP="00962911">
      <w:pPr>
        <w:pStyle w:val="PHEBodycopy"/>
        <w:ind w:right="-46"/>
      </w:pPr>
      <w:r>
        <w:t>Non-specialist SHS – level 1 and 2 sexual health services</w:t>
      </w:r>
    </w:p>
    <w:p w14:paraId="5089A1BD" w14:textId="0E374368" w:rsidR="004456C8" w:rsidRDefault="004456C8" w:rsidP="00962911">
      <w:pPr>
        <w:pStyle w:val="PHEBodycopy"/>
        <w:ind w:right="-46"/>
      </w:pPr>
      <w:r>
        <w:t>Other – other community-based settings</w:t>
      </w:r>
    </w:p>
    <w:p w14:paraId="79219CF5" w14:textId="617B992D" w:rsidR="004456C8" w:rsidRDefault="004456C8" w:rsidP="00962911">
      <w:pPr>
        <w:pStyle w:val="PHEBodycopy"/>
        <w:ind w:right="-46"/>
      </w:pPr>
      <w:r>
        <w:t xml:space="preserve">Pharmacy - </w:t>
      </w:r>
      <w:r w:rsidR="00A01F9C">
        <w:t>pharmacies</w:t>
      </w:r>
    </w:p>
    <w:p w14:paraId="2A5F5EE0" w14:textId="7862EF79" w:rsidR="004456C8" w:rsidRDefault="004456C8" w:rsidP="00962911">
      <w:pPr>
        <w:pStyle w:val="PHEBodycopy"/>
        <w:ind w:right="-46"/>
      </w:pPr>
      <w:r>
        <w:t>Specialist SHS - s</w:t>
      </w:r>
      <w:r w:rsidRPr="004456C8">
        <w:t xml:space="preserve">pecialist </w:t>
      </w:r>
      <w:r>
        <w:t>sexual health services refer</w:t>
      </w:r>
      <w:r w:rsidRPr="004456C8">
        <w:t xml:space="preserve"> to genitourinary medicine (GUM) and integrated GUM/sexual and reproductive health (SRH)</w:t>
      </w:r>
    </w:p>
    <w:p w14:paraId="7DD9D50C" w14:textId="0E80C94F" w:rsidR="00240121" w:rsidRPr="004456C8" w:rsidRDefault="004456C8" w:rsidP="00962911">
      <w:pPr>
        <w:pStyle w:val="PHEBodycopy"/>
        <w:ind w:right="-46"/>
      </w:pPr>
      <w:proofErr w:type="spellStart"/>
      <w:r w:rsidRPr="004456C8">
        <w:t>ToP</w:t>
      </w:r>
      <w:proofErr w:type="spellEnd"/>
      <w:r>
        <w:t xml:space="preserve"> - termination of pregnancy centres</w:t>
      </w:r>
    </w:p>
    <w:p w14:paraId="75161641" w14:textId="77777777" w:rsidR="004456C8" w:rsidRDefault="004456C8" w:rsidP="009E2108">
      <w:pPr>
        <w:pStyle w:val="PHEBodycopy"/>
        <w:ind w:right="-46"/>
        <w:rPr>
          <w:i/>
          <w:iCs/>
        </w:rPr>
      </w:pPr>
    </w:p>
    <w:p w14:paraId="7602D076" w14:textId="314CCF83" w:rsidR="009E0DD8" w:rsidRDefault="003F6A12" w:rsidP="009E2108">
      <w:pPr>
        <w:pStyle w:val="PHEBodycopy"/>
        <w:ind w:right="-46"/>
        <w:rPr>
          <w:b/>
          <w:bCs/>
        </w:rPr>
      </w:pPr>
      <w:r w:rsidRPr="003F6A12">
        <w:rPr>
          <w:i/>
          <w:iCs/>
        </w:rPr>
        <w:t>Source: CTAD and GUMCAD STI Surveillance Systems, UK Health Security Agency (UKHSA)</w:t>
      </w:r>
    </w:p>
    <w:p w14:paraId="23012D4E" w14:textId="77777777" w:rsidR="009E0DD8" w:rsidRDefault="009E0DD8" w:rsidP="00962911">
      <w:pPr>
        <w:pStyle w:val="PHEBodycopy"/>
        <w:ind w:right="-46"/>
        <w:rPr>
          <w:b/>
          <w:bCs/>
        </w:rPr>
      </w:pPr>
    </w:p>
    <w:p w14:paraId="71B92FD1" w14:textId="77777777" w:rsidR="009E0DD8" w:rsidRPr="009E0DD8" w:rsidRDefault="009E0DD8">
      <w:pPr>
        <w:pStyle w:val="PHEBodycopy"/>
        <w:ind w:right="-46"/>
      </w:pPr>
    </w:p>
    <w:sectPr w:rsidR="009E0DD8" w:rsidRPr="009E0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7E4D"/>
    <w:multiLevelType w:val="hybridMultilevel"/>
    <w:tmpl w:val="6020142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 w15:restartNumberingAfterBreak="0">
    <w:nsid w:val="52F0079C"/>
    <w:multiLevelType w:val="hybridMultilevel"/>
    <w:tmpl w:val="12D0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61A18"/>
    <w:multiLevelType w:val="hybridMultilevel"/>
    <w:tmpl w:val="65086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86"/>
    <w:rsid w:val="00004440"/>
    <w:rsid w:val="000071C6"/>
    <w:rsid w:val="0001409E"/>
    <w:rsid w:val="00014FF6"/>
    <w:rsid w:val="00035900"/>
    <w:rsid w:val="0004040F"/>
    <w:rsid w:val="000462B3"/>
    <w:rsid w:val="00056361"/>
    <w:rsid w:val="00065E36"/>
    <w:rsid w:val="00066AFD"/>
    <w:rsid w:val="00086B01"/>
    <w:rsid w:val="00094E38"/>
    <w:rsid w:val="000A3968"/>
    <w:rsid w:val="000B380D"/>
    <w:rsid w:val="000B52CC"/>
    <w:rsid w:val="000C3FAF"/>
    <w:rsid w:val="000D2CC3"/>
    <w:rsid w:val="000E0932"/>
    <w:rsid w:val="000E7854"/>
    <w:rsid w:val="000E7E0C"/>
    <w:rsid w:val="000F13F2"/>
    <w:rsid w:val="000F5D62"/>
    <w:rsid w:val="0010196E"/>
    <w:rsid w:val="001108B3"/>
    <w:rsid w:val="00124E7B"/>
    <w:rsid w:val="00126C4D"/>
    <w:rsid w:val="001358EB"/>
    <w:rsid w:val="00142609"/>
    <w:rsid w:val="00150FC7"/>
    <w:rsid w:val="001550E4"/>
    <w:rsid w:val="00155433"/>
    <w:rsid w:val="00162E1E"/>
    <w:rsid w:val="00166107"/>
    <w:rsid w:val="00166B2F"/>
    <w:rsid w:val="00172510"/>
    <w:rsid w:val="00182CAE"/>
    <w:rsid w:val="0019709D"/>
    <w:rsid w:val="001A6BCF"/>
    <w:rsid w:val="001A6F8E"/>
    <w:rsid w:val="001B15D0"/>
    <w:rsid w:val="001D5AF7"/>
    <w:rsid w:val="00202B86"/>
    <w:rsid w:val="00216DF0"/>
    <w:rsid w:val="00240121"/>
    <w:rsid w:val="00251892"/>
    <w:rsid w:val="0025677B"/>
    <w:rsid w:val="0026514B"/>
    <w:rsid w:val="00276FCC"/>
    <w:rsid w:val="00281AB7"/>
    <w:rsid w:val="00283AE6"/>
    <w:rsid w:val="00284E5E"/>
    <w:rsid w:val="00290107"/>
    <w:rsid w:val="002A0D1C"/>
    <w:rsid w:val="002A50E5"/>
    <w:rsid w:val="002A650A"/>
    <w:rsid w:val="002B1157"/>
    <w:rsid w:val="002B2314"/>
    <w:rsid w:val="002C1FE5"/>
    <w:rsid w:val="002C5210"/>
    <w:rsid w:val="002C6612"/>
    <w:rsid w:val="002F599B"/>
    <w:rsid w:val="002F6E5B"/>
    <w:rsid w:val="00300DE7"/>
    <w:rsid w:val="003139B9"/>
    <w:rsid w:val="00314FE6"/>
    <w:rsid w:val="00331BE6"/>
    <w:rsid w:val="00341735"/>
    <w:rsid w:val="00344DAA"/>
    <w:rsid w:val="00345D52"/>
    <w:rsid w:val="00347E81"/>
    <w:rsid w:val="003526F2"/>
    <w:rsid w:val="00356B99"/>
    <w:rsid w:val="00357D0E"/>
    <w:rsid w:val="003616C5"/>
    <w:rsid w:val="00373E4F"/>
    <w:rsid w:val="00377D76"/>
    <w:rsid w:val="00381AA8"/>
    <w:rsid w:val="00384160"/>
    <w:rsid w:val="003A1733"/>
    <w:rsid w:val="003B7953"/>
    <w:rsid w:val="003C2F85"/>
    <w:rsid w:val="003C4667"/>
    <w:rsid w:val="003D725E"/>
    <w:rsid w:val="003F496A"/>
    <w:rsid w:val="003F6A12"/>
    <w:rsid w:val="0040532B"/>
    <w:rsid w:val="00406E73"/>
    <w:rsid w:val="004131E8"/>
    <w:rsid w:val="00413490"/>
    <w:rsid w:val="004211F2"/>
    <w:rsid w:val="00423291"/>
    <w:rsid w:val="004400DF"/>
    <w:rsid w:val="00441732"/>
    <w:rsid w:val="004456C8"/>
    <w:rsid w:val="004576C8"/>
    <w:rsid w:val="004757C4"/>
    <w:rsid w:val="0048641C"/>
    <w:rsid w:val="00490C88"/>
    <w:rsid w:val="004921A3"/>
    <w:rsid w:val="00495101"/>
    <w:rsid w:val="004A1B20"/>
    <w:rsid w:val="004A1ED5"/>
    <w:rsid w:val="004A64AC"/>
    <w:rsid w:val="004B0A06"/>
    <w:rsid w:val="004C4E29"/>
    <w:rsid w:val="004D4F71"/>
    <w:rsid w:val="004E2B9D"/>
    <w:rsid w:val="004E4F20"/>
    <w:rsid w:val="004F23E6"/>
    <w:rsid w:val="005048C9"/>
    <w:rsid w:val="00505A08"/>
    <w:rsid w:val="00512558"/>
    <w:rsid w:val="00520C1E"/>
    <w:rsid w:val="005370D0"/>
    <w:rsid w:val="00540080"/>
    <w:rsid w:val="0054102D"/>
    <w:rsid w:val="005575AA"/>
    <w:rsid w:val="005614B7"/>
    <w:rsid w:val="00565D51"/>
    <w:rsid w:val="005727D6"/>
    <w:rsid w:val="0057371E"/>
    <w:rsid w:val="00575E0D"/>
    <w:rsid w:val="00580C6A"/>
    <w:rsid w:val="00582379"/>
    <w:rsid w:val="00585A57"/>
    <w:rsid w:val="005922CF"/>
    <w:rsid w:val="0059366D"/>
    <w:rsid w:val="00594D19"/>
    <w:rsid w:val="005A2E62"/>
    <w:rsid w:val="005B668B"/>
    <w:rsid w:val="005D1DC8"/>
    <w:rsid w:val="005E30E9"/>
    <w:rsid w:val="005E466F"/>
    <w:rsid w:val="005E55D0"/>
    <w:rsid w:val="005F5114"/>
    <w:rsid w:val="00624EC1"/>
    <w:rsid w:val="00625C6C"/>
    <w:rsid w:val="00640CFE"/>
    <w:rsid w:val="00644AB9"/>
    <w:rsid w:val="00645383"/>
    <w:rsid w:val="0064707B"/>
    <w:rsid w:val="00657AF5"/>
    <w:rsid w:val="00660CCC"/>
    <w:rsid w:val="006646F2"/>
    <w:rsid w:val="006701CE"/>
    <w:rsid w:val="00676387"/>
    <w:rsid w:val="00677AEC"/>
    <w:rsid w:val="00691309"/>
    <w:rsid w:val="0069361B"/>
    <w:rsid w:val="0069533A"/>
    <w:rsid w:val="00695AF0"/>
    <w:rsid w:val="00697541"/>
    <w:rsid w:val="006B2986"/>
    <w:rsid w:val="006C1EBF"/>
    <w:rsid w:val="006C676A"/>
    <w:rsid w:val="006D1335"/>
    <w:rsid w:val="006D4690"/>
    <w:rsid w:val="006D5B57"/>
    <w:rsid w:val="006E3669"/>
    <w:rsid w:val="006E4020"/>
    <w:rsid w:val="006F1AE2"/>
    <w:rsid w:val="006F333D"/>
    <w:rsid w:val="006F3800"/>
    <w:rsid w:val="006F7900"/>
    <w:rsid w:val="00714611"/>
    <w:rsid w:val="00720B57"/>
    <w:rsid w:val="00722516"/>
    <w:rsid w:val="0072738F"/>
    <w:rsid w:val="0073041E"/>
    <w:rsid w:val="00731A8D"/>
    <w:rsid w:val="007335B7"/>
    <w:rsid w:val="00736299"/>
    <w:rsid w:val="007420A0"/>
    <w:rsid w:val="007420D4"/>
    <w:rsid w:val="007435D3"/>
    <w:rsid w:val="0076534A"/>
    <w:rsid w:val="00770389"/>
    <w:rsid w:val="00775BB8"/>
    <w:rsid w:val="00775F25"/>
    <w:rsid w:val="00792053"/>
    <w:rsid w:val="007A05A9"/>
    <w:rsid w:val="007C0BC4"/>
    <w:rsid w:val="007C28D8"/>
    <w:rsid w:val="007C72D7"/>
    <w:rsid w:val="007D74AE"/>
    <w:rsid w:val="007F3309"/>
    <w:rsid w:val="007F33D3"/>
    <w:rsid w:val="007F3548"/>
    <w:rsid w:val="00813762"/>
    <w:rsid w:val="00820AFD"/>
    <w:rsid w:val="00822822"/>
    <w:rsid w:val="00826ADE"/>
    <w:rsid w:val="00830DF9"/>
    <w:rsid w:val="00837863"/>
    <w:rsid w:val="00843219"/>
    <w:rsid w:val="008529BB"/>
    <w:rsid w:val="00861E1F"/>
    <w:rsid w:val="0086433F"/>
    <w:rsid w:val="0086436F"/>
    <w:rsid w:val="00872616"/>
    <w:rsid w:val="00873063"/>
    <w:rsid w:val="00883FA2"/>
    <w:rsid w:val="008864C4"/>
    <w:rsid w:val="008879CC"/>
    <w:rsid w:val="00897B64"/>
    <w:rsid w:val="008A062A"/>
    <w:rsid w:val="008A36AA"/>
    <w:rsid w:val="008B04A2"/>
    <w:rsid w:val="008B6BD6"/>
    <w:rsid w:val="008B7700"/>
    <w:rsid w:val="008C1BDD"/>
    <w:rsid w:val="008C7E9F"/>
    <w:rsid w:val="008F5EC4"/>
    <w:rsid w:val="00907F1D"/>
    <w:rsid w:val="009222E3"/>
    <w:rsid w:val="00925EE9"/>
    <w:rsid w:val="009325F9"/>
    <w:rsid w:val="0094567F"/>
    <w:rsid w:val="009518C6"/>
    <w:rsid w:val="0095258E"/>
    <w:rsid w:val="00962911"/>
    <w:rsid w:val="009717DA"/>
    <w:rsid w:val="0097756D"/>
    <w:rsid w:val="00981E89"/>
    <w:rsid w:val="00984117"/>
    <w:rsid w:val="00994107"/>
    <w:rsid w:val="009A0588"/>
    <w:rsid w:val="009A43DE"/>
    <w:rsid w:val="009B71F4"/>
    <w:rsid w:val="009E0DD8"/>
    <w:rsid w:val="009E2108"/>
    <w:rsid w:val="009E4F31"/>
    <w:rsid w:val="009F440F"/>
    <w:rsid w:val="009F7137"/>
    <w:rsid w:val="00A01F9C"/>
    <w:rsid w:val="00A153C5"/>
    <w:rsid w:val="00A229D8"/>
    <w:rsid w:val="00A33FF7"/>
    <w:rsid w:val="00A35720"/>
    <w:rsid w:val="00A50DC2"/>
    <w:rsid w:val="00A54671"/>
    <w:rsid w:val="00A6346C"/>
    <w:rsid w:val="00A646B5"/>
    <w:rsid w:val="00A65747"/>
    <w:rsid w:val="00A742A1"/>
    <w:rsid w:val="00AA7442"/>
    <w:rsid w:val="00AC2D17"/>
    <w:rsid w:val="00AC4AFD"/>
    <w:rsid w:val="00AD1FEB"/>
    <w:rsid w:val="00B0115C"/>
    <w:rsid w:val="00B058B5"/>
    <w:rsid w:val="00B06B8D"/>
    <w:rsid w:val="00B11E2C"/>
    <w:rsid w:val="00B145C7"/>
    <w:rsid w:val="00B15AD4"/>
    <w:rsid w:val="00B17C7F"/>
    <w:rsid w:val="00B229F2"/>
    <w:rsid w:val="00B31D8D"/>
    <w:rsid w:val="00B37D4D"/>
    <w:rsid w:val="00B42F7C"/>
    <w:rsid w:val="00B44BA9"/>
    <w:rsid w:val="00B47302"/>
    <w:rsid w:val="00B56898"/>
    <w:rsid w:val="00B757C2"/>
    <w:rsid w:val="00B80E6F"/>
    <w:rsid w:val="00B917F8"/>
    <w:rsid w:val="00BA6341"/>
    <w:rsid w:val="00BC2EA0"/>
    <w:rsid w:val="00BD1AC0"/>
    <w:rsid w:val="00BD344B"/>
    <w:rsid w:val="00BD7A7E"/>
    <w:rsid w:val="00BE0B82"/>
    <w:rsid w:val="00BE3895"/>
    <w:rsid w:val="00BF4F52"/>
    <w:rsid w:val="00C04D46"/>
    <w:rsid w:val="00C3026E"/>
    <w:rsid w:val="00C32236"/>
    <w:rsid w:val="00C35E1B"/>
    <w:rsid w:val="00C43445"/>
    <w:rsid w:val="00C64B9B"/>
    <w:rsid w:val="00C67FBD"/>
    <w:rsid w:val="00C758DD"/>
    <w:rsid w:val="00C86319"/>
    <w:rsid w:val="00C87344"/>
    <w:rsid w:val="00C937F1"/>
    <w:rsid w:val="00C965AA"/>
    <w:rsid w:val="00CA2C85"/>
    <w:rsid w:val="00CB5081"/>
    <w:rsid w:val="00CC7525"/>
    <w:rsid w:val="00CF11CF"/>
    <w:rsid w:val="00CF1C31"/>
    <w:rsid w:val="00CF5C5F"/>
    <w:rsid w:val="00D0694F"/>
    <w:rsid w:val="00D12700"/>
    <w:rsid w:val="00D2283B"/>
    <w:rsid w:val="00D240A4"/>
    <w:rsid w:val="00D320B1"/>
    <w:rsid w:val="00D3332A"/>
    <w:rsid w:val="00D37161"/>
    <w:rsid w:val="00D43C7A"/>
    <w:rsid w:val="00D5507A"/>
    <w:rsid w:val="00D62505"/>
    <w:rsid w:val="00D646F7"/>
    <w:rsid w:val="00D74553"/>
    <w:rsid w:val="00D74E9C"/>
    <w:rsid w:val="00D764F0"/>
    <w:rsid w:val="00D8020F"/>
    <w:rsid w:val="00D81707"/>
    <w:rsid w:val="00D93C25"/>
    <w:rsid w:val="00D94FD4"/>
    <w:rsid w:val="00D95BDA"/>
    <w:rsid w:val="00DA233F"/>
    <w:rsid w:val="00DB5BE4"/>
    <w:rsid w:val="00DD0DA3"/>
    <w:rsid w:val="00DD6318"/>
    <w:rsid w:val="00DE0BFA"/>
    <w:rsid w:val="00DF584F"/>
    <w:rsid w:val="00DF5B78"/>
    <w:rsid w:val="00E006C2"/>
    <w:rsid w:val="00E143DA"/>
    <w:rsid w:val="00E17E49"/>
    <w:rsid w:val="00E226C7"/>
    <w:rsid w:val="00E249FB"/>
    <w:rsid w:val="00E47C66"/>
    <w:rsid w:val="00E6686B"/>
    <w:rsid w:val="00E80CD0"/>
    <w:rsid w:val="00E94634"/>
    <w:rsid w:val="00E97500"/>
    <w:rsid w:val="00EA39DE"/>
    <w:rsid w:val="00EA7D7B"/>
    <w:rsid w:val="00EC2652"/>
    <w:rsid w:val="00EC7619"/>
    <w:rsid w:val="00EE0BC9"/>
    <w:rsid w:val="00EE351C"/>
    <w:rsid w:val="00EF7DEA"/>
    <w:rsid w:val="00F00FF1"/>
    <w:rsid w:val="00F03B03"/>
    <w:rsid w:val="00F03DE7"/>
    <w:rsid w:val="00F1447B"/>
    <w:rsid w:val="00F15EDD"/>
    <w:rsid w:val="00F20916"/>
    <w:rsid w:val="00F336F8"/>
    <w:rsid w:val="00F34831"/>
    <w:rsid w:val="00F34AD7"/>
    <w:rsid w:val="00F403A5"/>
    <w:rsid w:val="00F40EB5"/>
    <w:rsid w:val="00F51573"/>
    <w:rsid w:val="00F52CC0"/>
    <w:rsid w:val="00F54B08"/>
    <w:rsid w:val="00F57A53"/>
    <w:rsid w:val="00F6194E"/>
    <w:rsid w:val="00F766AA"/>
    <w:rsid w:val="00F8365C"/>
    <w:rsid w:val="00F956C1"/>
    <w:rsid w:val="00FA438B"/>
    <w:rsid w:val="00FB5BE0"/>
    <w:rsid w:val="00FB6A2D"/>
    <w:rsid w:val="00FC3172"/>
    <w:rsid w:val="00FD0C06"/>
    <w:rsid w:val="00FD7749"/>
    <w:rsid w:val="00FE4668"/>
    <w:rsid w:val="00FF3E45"/>
    <w:rsid w:val="2A6A20C4"/>
    <w:rsid w:val="3094FDAC"/>
    <w:rsid w:val="564FBBAF"/>
    <w:rsid w:val="65BDD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1283"/>
  <w15:chartTrackingRefBased/>
  <w15:docId w15:val="{06176A3F-6973-4F11-82CD-2FDB72CC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86"/>
    <w:rPr>
      <w:rFonts w:ascii="Arial" w:hAnsi="Arial" w:cs="Arial"/>
      <w:sz w:val="24"/>
      <w:szCs w:val="24"/>
    </w:rPr>
  </w:style>
  <w:style w:type="paragraph" w:styleId="Heading1">
    <w:name w:val="heading 1"/>
    <w:basedOn w:val="Normal"/>
    <w:next w:val="BodyText"/>
    <w:link w:val="Heading1Char"/>
    <w:uiPriority w:val="9"/>
    <w:qFormat/>
    <w:rsid w:val="006B2986"/>
    <w:pPr>
      <w:keepNext/>
      <w:keepLines/>
      <w:spacing w:before="480" w:after="0" w:line="240" w:lineRule="auto"/>
      <w:outlineLvl w:val="0"/>
    </w:pPr>
    <w:rPr>
      <w:rFonts w:asciiTheme="majorHAnsi" w:eastAsiaTheme="majorEastAsia" w:hAnsiTheme="majorHAnsi" w:cstheme="majorBidi"/>
      <w:b/>
      <w:bCs/>
      <w:color w:val="4472C4" w:themeColor="accent1"/>
      <w:sz w:val="32"/>
      <w:szCs w:val="32"/>
    </w:rPr>
  </w:style>
  <w:style w:type="paragraph" w:styleId="Heading3">
    <w:name w:val="heading 3"/>
    <w:basedOn w:val="Normal"/>
    <w:next w:val="Normal"/>
    <w:link w:val="Heading3Char"/>
    <w:uiPriority w:val="9"/>
    <w:unhideWhenUsed/>
    <w:qFormat/>
    <w:rsid w:val="006B298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86"/>
    <w:rPr>
      <w:rFonts w:ascii="Segoe UI" w:hAnsi="Segoe UI" w:cs="Segoe UI"/>
      <w:sz w:val="18"/>
      <w:szCs w:val="18"/>
    </w:rPr>
  </w:style>
  <w:style w:type="character" w:customStyle="1" w:styleId="Heading1Char">
    <w:name w:val="Heading 1 Char"/>
    <w:basedOn w:val="DefaultParagraphFont"/>
    <w:link w:val="Heading1"/>
    <w:uiPriority w:val="9"/>
    <w:rsid w:val="006B2986"/>
    <w:rPr>
      <w:rFonts w:asciiTheme="majorHAnsi" w:eastAsiaTheme="majorEastAsia" w:hAnsiTheme="majorHAnsi" w:cstheme="majorBidi"/>
      <w:b/>
      <w:bCs/>
      <w:color w:val="4472C4" w:themeColor="accent1"/>
      <w:sz w:val="32"/>
      <w:szCs w:val="32"/>
    </w:rPr>
  </w:style>
  <w:style w:type="character" w:customStyle="1" w:styleId="Heading3Char">
    <w:name w:val="Heading 3 Char"/>
    <w:basedOn w:val="DefaultParagraphFont"/>
    <w:link w:val="Heading3"/>
    <w:uiPriority w:val="9"/>
    <w:rsid w:val="006B298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6B2986"/>
    <w:pPr>
      <w:spacing w:after="120"/>
    </w:pPr>
  </w:style>
  <w:style w:type="character" w:customStyle="1" w:styleId="BodyTextChar">
    <w:name w:val="Body Text Char"/>
    <w:basedOn w:val="DefaultParagraphFont"/>
    <w:link w:val="BodyText"/>
    <w:uiPriority w:val="99"/>
    <w:rsid w:val="006B2986"/>
    <w:rPr>
      <w:rFonts w:ascii="Arial" w:hAnsi="Arial" w:cs="Arial"/>
      <w:sz w:val="24"/>
      <w:szCs w:val="24"/>
    </w:rPr>
  </w:style>
  <w:style w:type="character" w:styleId="CommentReference">
    <w:name w:val="annotation reference"/>
    <w:basedOn w:val="DefaultParagraphFont"/>
    <w:uiPriority w:val="99"/>
    <w:semiHidden/>
    <w:unhideWhenUsed/>
    <w:rsid w:val="006B2986"/>
    <w:rPr>
      <w:sz w:val="16"/>
      <w:szCs w:val="16"/>
    </w:rPr>
  </w:style>
  <w:style w:type="paragraph" w:styleId="CommentText">
    <w:name w:val="annotation text"/>
    <w:basedOn w:val="Normal"/>
    <w:link w:val="CommentTextChar"/>
    <w:uiPriority w:val="99"/>
    <w:unhideWhenUsed/>
    <w:rsid w:val="006B2986"/>
    <w:pPr>
      <w:spacing w:line="240" w:lineRule="auto"/>
    </w:pPr>
    <w:rPr>
      <w:sz w:val="20"/>
      <w:szCs w:val="20"/>
    </w:rPr>
  </w:style>
  <w:style w:type="character" w:customStyle="1" w:styleId="CommentTextChar">
    <w:name w:val="Comment Text Char"/>
    <w:basedOn w:val="DefaultParagraphFont"/>
    <w:link w:val="CommentText"/>
    <w:uiPriority w:val="99"/>
    <w:rsid w:val="006B298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46B5"/>
    <w:rPr>
      <w:b/>
      <w:bCs/>
    </w:rPr>
  </w:style>
  <w:style w:type="character" w:customStyle="1" w:styleId="CommentSubjectChar">
    <w:name w:val="Comment Subject Char"/>
    <w:basedOn w:val="CommentTextChar"/>
    <w:link w:val="CommentSubject"/>
    <w:uiPriority w:val="99"/>
    <w:semiHidden/>
    <w:rsid w:val="00A646B5"/>
    <w:rPr>
      <w:rFonts w:ascii="Arial" w:hAnsi="Arial" w:cs="Arial"/>
      <w:b/>
      <w:bCs/>
      <w:sz w:val="20"/>
      <w:szCs w:val="20"/>
    </w:rPr>
  </w:style>
  <w:style w:type="paragraph" w:styleId="Revision">
    <w:name w:val="Revision"/>
    <w:hidden/>
    <w:uiPriority w:val="99"/>
    <w:semiHidden/>
    <w:rsid w:val="00C67FBD"/>
    <w:pPr>
      <w:spacing w:after="0" w:line="240" w:lineRule="auto"/>
    </w:pPr>
    <w:rPr>
      <w:rFonts w:ascii="Arial" w:hAnsi="Arial" w:cs="Arial"/>
      <w:sz w:val="24"/>
      <w:szCs w:val="24"/>
    </w:rPr>
  </w:style>
  <w:style w:type="paragraph" w:styleId="ListParagraph">
    <w:name w:val="List Paragraph"/>
    <w:basedOn w:val="Normal"/>
    <w:uiPriority w:val="34"/>
    <w:qFormat/>
    <w:rsid w:val="00843219"/>
    <w:pPr>
      <w:spacing w:after="0" w:line="240" w:lineRule="auto"/>
      <w:ind w:left="720"/>
      <w:contextualSpacing/>
      <w:jc w:val="both"/>
    </w:pPr>
    <w:rPr>
      <w:rFonts w:cs="Times New Roman"/>
      <w:szCs w:val="22"/>
    </w:rPr>
  </w:style>
  <w:style w:type="paragraph" w:customStyle="1" w:styleId="PHEBodycopy">
    <w:name w:val="PHE Body copy"/>
    <w:basedOn w:val="Normal"/>
    <w:qFormat/>
    <w:rsid w:val="00962911"/>
    <w:pPr>
      <w:spacing w:after="0" w:line="320" w:lineRule="exact"/>
      <w:ind w:right="794"/>
    </w:pPr>
    <w:rPr>
      <w:rFonts w:eastAsia="Times New Roman" w:cs="Times New Roman"/>
      <w:szCs w:val="20"/>
      <w:lang w:eastAsia="en-GB"/>
    </w:rPr>
  </w:style>
  <w:style w:type="paragraph" w:customStyle="1" w:styleId="PHEfigureheadings">
    <w:name w:val="PHE figure headings"/>
    <w:basedOn w:val="Normal"/>
    <w:link w:val="PHEfigureheadingsChar"/>
    <w:qFormat/>
    <w:rsid w:val="00962911"/>
    <w:pPr>
      <w:spacing w:after="0" w:line="280" w:lineRule="atLeast"/>
    </w:pPr>
    <w:rPr>
      <w:rFonts w:eastAsiaTheme="minorEastAsia" w:cs="Times New Roman"/>
      <w:b/>
      <w:szCs w:val="20"/>
    </w:rPr>
  </w:style>
  <w:style w:type="character" w:customStyle="1" w:styleId="PHEfigureheadingsChar">
    <w:name w:val="PHE figure headings Char"/>
    <w:basedOn w:val="DefaultParagraphFont"/>
    <w:link w:val="PHEfigureheadings"/>
    <w:rsid w:val="00962911"/>
    <w:rPr>
      <w:rFonts w:ascii="Arial" w:eastAsiaTheme="minorEastAsia" w:hAnsi="Arial" w:cs="Times New Roman"/>
      <w:b/>
      <w:sz w:val="24"/>
      <w:szCs w:val="20"/>
    </w:rPr>
  </w:style>
  <w:style w:type="character" w:styleId="Hyperlink">
    <w:name w:val="Hyperlink"/>
    <w:basedOn w:val="DefaultParagraphFont"/>
    <w:uiPriority w:val="99"/>
    <w:unhideWhenUsed/>
    <w:rsid w:val="00E94634"/>
    <w:rPr>
      <w:color w:val="0563C1" w:themeColor="hyperlink"/>
      <w:u w:val="single"/>
    </w:rPr>
  </w:style>
  <w:style w:type="character" w:styleId="UnresolvedMention">
    <w:name w:val="Unresolved Mention"/>
    <w:basedOn w:val="DefaultParagraphFont"/>
    <w:uiPriority w:val="99"/>
    <w:semiHidden/>
    <w:unhideWhenUsed/>
    <w:rsid w:val="00E94634"/>
    <w:rPr>
      <w:color w:val="605E5C"/>
      <w:shd w:val="clear" w:color="auto" w:fill="E1DFDD"/>
    </w:rPr>
  </w:style>
  <w:style w:type="character" w:styleId="FollowedHyperlink">
    <w:name w:val="FollowedHyperlink"/>
    <w:basedOn w:val="DefaultParagraphFont"/>
    <w:uiPriority w:val="99"/>
    <w:semiHidden/>
    <w:unhideWhenUsed/>
    <w:rsid w:val="00440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89987">
      <w:bodyDiv w:val="1"/>
      <w:marLeft w:val="0"/>
      <w:marRight w:val="0"/>
      <w:marTop w:val="0"/>
      <w:marBottom w:val="0"/>
      <w:divBdr>
        <w:top w:val="none" w:sz="0" w:space="0" w:color="auto"/>
        <w:left w:val="none" w:sz="0" w:space="0" w:color="auto"/>
        <w:bottom w:val="none" w:sz="0" w:space="0" w:color="auto"/>
        <w:right w:val="none" w:sz="0" w:space="0" w:color="auto"/>
      </w:divBdr>
    </w:div>
    <w:div w:id="604266748">
      <w:bodyDiv w:val="1"/>
      <w:marLeft w:val="0"/>
      <w:marRight w:val="0"/>
      <w:marTop w:val="0"/>
      <w:marBottom w:val="0"/>
      <w:divBdr>
        <w:top w:val="none" w:sz="0" w:space="0" w:color="auto"/>
        <w:left w:val="none" w:sz="0" w:space="0" w:color="auto"/>
        <w:bottom w:val="none" w:sz="0" w:space="0" w:color="auto"/>
        <w:right w:val="none" w:sz="0" w:space="0" w:color="auto"/>
      </w:divBdr>
    </w:div>
    <w:div w:id="1420129266">
      <w:bodyDiv w:val="1"/>
      <w:marLeft w:val="0"/>
      <w:marRight w:val="0"/>
      <w:marTop w:val="0"/>
      <w:marBottom w:val="0"/>
      <w:divBdr>
        <w:top w:val="none" w:sz="0" w:space="0" w:color="auto"/>
        <w:left w:val="none" w:sz="0" w:space="0" w:color="auto"/>
        <w:bottom w:val="none" w:sz="0" w:space="0" w:color="auto"/>
        <w:right w:val="none" w:sz="0" w:space="0" w:color="auto"/>
      </w:divBdr>
    </w:div>
    <w:div w:id="1481464352">
      <w:bodyDiv w:val="1"/>
      <w:marLeft w:val="0"/>
      <w:marRight w:val="0"/>
      <w:marTop w:val="0"/>
      <w:marBottom w:val="0"/>
      <w:divBdr>
        <w:top w:val="none" w:sz="0" w:space="0" w:color="auto"/>
        <w:left w:val="none" w:sz="0" w:space="0" w:color="auto"/>
        <w:bottom w:val="none" w:sz="0" w:space="0" w:color="auto"/>
        <w:right w:val="none" w:sz="0" w:space="0" w:color="auto"/>
      </w:divBdr>
    </w:div>
    <w:div w:id="1603106171">
      <w:bodyDiv w:val="1"/>
      <w:marLeft w:val="0"/>
      <w:marRight w:val="0"/>
      <w:marTop w:val="0"/>
      <w:marBottom w:val="0"/>
      <w:divBdr>
        <w:top w:val="none" w:sz="0" w:space="0" w:color="auto"/>
        <w:left w:val="none" w:sz="0" w:space="0" w:color="auto"/>
        <w:bottom w:val="none" w:sz="0" w:space="0" w:color="auto"/>
        <w:right w:val="none" w:sz="0" w:space="0" w:color="auto"/>
      </w:divBdr>
    </w:div>
    <w:div w:id="1663073607">
      <w:bodyDiv w:val="1"/>
      <w:marLeft w:val="0"/>
      <w:marRight w:val="0"/>
      <w:marTop w:val="0"/>
      <w:marBottom w:val="0"/>
      <w:divBdr>
        <w:top w:val="none" w:sz="0" w:space="0" w:color="auto"/>
        <w:left w:val="none" w:sz="0" w:space="0" w:color="auto"/>
        <w:bottom w:val="none" w:sz="0" w:space="0" w:color="auto"/>
        <w:right w:val="none" w:sz="0" w:space="0" w:color="auto"/>
      </w:divBdr>
    </w:div>
    <w:div w:id="17905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10" ma:contentTypeDescription="Create a new document." ma:contentTypeScope="" ma:versionID="03428cecabad0c22f3277a61574dcf2f">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65e62060f3e5dba1a2234ef5c4bc3366" ns2:_="" ns3:_="">
    <xsd:import namespace="661984a6-da6b-4af6-b4e6-6f7afbeb6463"/>
    <xsd:import namespace="1022d36a-6a71-4d72-80e6-4c293b40d8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1e3d78-b05d-4e16-ab14-c1e77eb63ddf}"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022d36a-6a71-4d72-80e6-4c293b40d898">
      <UserInfo>
        <DisplayName>Fitzpatrick, Justine</DisplayName>
        <AccountId>19</AccountId>
        <AccountType/>
      </UserInfo>
    </SharedWithUsers>
    <TaxCatchAll xmlns="1022d36a-6a71-4d72-80e6-4c293b40d898" xsi:nil="true"/>
    <lcf76f155ced4ddcb4097134ff3c332f xmlns="661984a6-da6b-4af6-b4e6-6f7afbeb64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A4BDD5-9B6F-4E7F-9CC2-71D9F48D1220}">
  <ds:schemaRefs>
    <ds:schemaRef ds:uri="http://schemas.openxmlformats.org/officeDocument/2006/bibliography"/>
  </ds:schemaRefs>
</ds:datastoreItem>
</file>

<file path=customXml/itemProps2.xml><?xml version="1.0" encoding="utf-8"?>
<ds:datastoreItem xmlns:ds="http://schemas.openxmlformats.org/officeDocument/2006/customXml" ds:itemID="{C2A4B8EA-0E18-4809-B6BA-D700F630729F}">
  <ds:schemaRefs>
    <ds:schemaRef ds:uri="http://schemas.microsoft.com/sharepoint/v3/contenttype/forms"/>
  </ds:schemaRefs>
</ds:datastoreItem>
</file>

<file path=customXml/itemProps3.xml><?xml version="1.0" encoding="utf-8"?>
<ds:datastoreItem xmlns:ds="http://schemas.openxmlformats.org/officeDocument/2006/customXml" ds:itemID="{C07FE44D-9056-4FB9-8836-2C637EA41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8D389-A7E0-4A87-B1EF-384461E1AF34}">
  <ds:schemaRefs>
    <ds:schemaRef ds:uri="http://purl.org/dc/terms/"/>
    <ds:schemaRef ds:uri="661984a6-da6b-4af6-b4e6-6f7afbeb6463"/>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1022d36a-6a71-4d72-80e6-4c293b40d898"/>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Hutchinson</dc:creator>
  <cp:keywords/>
  <dc:description/>
  <cp:lastModifiedBy>(DHSC) Sacha Wyke</cp:lastModifiedBy>
  <cp:revision>2</cp:revision>
  <dcterms:created xsi:type="dcterms:W3CDTF">2022-12-14T22:18:00Z</dcterms:created>
  <dcterms:modified xsi:type="dcterms:W3CDTF">2022-12-14T22:18:00Z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Order">
    <vt:r8>11200</vt:r8>
  </property>
  <property fmtid="{D5CDD505-2E9C-101B-9397-08002B2CF9AE}" pid="4" name="MediaServiceImageTags">
    <vt:lpwstr/>
  </property>
</Properties>
</file>