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BDC2" w14:textId="46C2B20F" w:rsidR="00681A7C" w:rsidRPr="005C57E3" w:rsidRDefault="00681A7C" w:rsidP="00681A7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5C57E3">
        <w:rPr>
          <w:rFonts w:ascii="Arial" w:hAnsi="Arial" w:cs="Arial"/>
          <w:color w:val="auto"/>
          <w:sz w:val="24"/>
          <w:szCs w:val="24"/>
        </w:rPr>
        <w:t xml:space="preserve">Wider Impacts of COVID-19 on Health (WICH) 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>summary, 1</w:t>
      </w:r>
      <w:r w:rsidR="00230802">
        <w:rPr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230802">
        <w:rPr>
          <w:rFonts w:ascii="Arial" w:hAnsi="Arial" w:cs="Arial"/>
          <w:b w:val="0"/>
          <w:bCs w:val="0"/>
          <w:color w:val="auto"/>
          <w:sz w:val="24"/>
          <w:szCs w:val="24"/>
        </w:rPr>
        <w:t>December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2021</w:t>
      </w:r>
    </w:p>
    <w:p w14:paraId="67DEEB24" w14:textId="0123E5F1" w:rsidR="00FB6EFF" w:rsidRPr="005C57E3" w:rsidRDefault="00446F7C"/>
    <w:p w14:paraId="7CD8A3A6" w14:textId="77777777" w:rsidR="00681A7C" w:rsidRPr="005C57E3" w:rsidRDefault="00681A7C" w:rsidP="00681A7C">
      <w:pPr>
        <w:pStyle w:val="Heading3"/>
        <w:rPr>
          <w:rFonts w:ascii="Arial" w:hAnsi="Arial" w:cs="Arial"/>
          <w:b/>
          <w:bCs/>
          <w:color w:val="auto"/>
        </w:rPr>
      </w:pPr>
      <w:r w:rsidRPr="005C57E3">
        <w:rPr>
          <w:rFonts w:ascii="Arial" w:hAnsi="Arial" w:cs="Arial"/>
          <w:b/>
          <w:bCs/>
          <w:color w:val="auto"/>
        </w:rPr>
        <w:t>Overview</w:t>
      </w:r>
    </w:p>
    <w:p w14:paraId="455E58E7" w14:textId="108E0891" w:rsidR="00230802" w:rsidRPr="00230802" w:rsidRDefault="00233281" w:rsidP="00230802">
      <w:pPr>
        <w:pStyle w:val="BodyText"/>
      </w:pPr>
      <w:r>
        <w:t xml:space="preserve">This summary provides the main messages for metrics updated with data. </w:t>
      </w:r>
    </w:p>
    <w:p w14:paraId="4AFB4BE4" w14:textId="3E348550" w:rsidR="00681A7C" w:rsidRPr="005C57E3" w:rsidRDefault="00475A1A" w:rsidP="00681A7C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Main messages</w:t>
      </w:r>
    </w:p>
    <w:p w14:paraId="7B05BB10" w14:textId="31F285D5" w:rsidR="00927419" w:rsidRPr="005C57E3" w:rsidRDefault="00927419" w:rsidP="00927419">
      <w:pPr>
        <w:rPr>
          <w:b/>
          <w:bCs/>
        </w:rPr>
      </w:pPr>
      <w:r>
        <w:rPr>
          <w:b/>
          <w:bCs/>
        </w:rPr>
        <w:t>Life expectancy</w:t>
      </w:r>
    </w:p>
    <w:p w14:paraId="3A3DCC91" w14:textId="11E2F105" w:rsidR="00F55CA6" w:rsidRDefault="00C125AD">
      <w:r>
        <w:t>The chart below shows that</w:t>
      </w:r>
      <w:r w:rsidR="00A97B70">
        <w:t xml:space="preserve"> 2020 life expectancy was lower for both men and women than it had been for 5 years</w:t>
      </w:r>
      <w:r w:rsidR="00265E12">
        <w:t xml:space="preserve">. </w:t>
      </w:r>
      <w:r w:rsidR="007D6501">
        <w:t>Although still below pre-pandemic levels, p</w:t>
      </w:r>
      <w:r w:rsidR="00890794">
        <w:t xml:space="preserve">rovisional data for the first half of 2021 show an increase in life expectancy </w:t>
      </w:r>
      <w:r w:rsidR="007D6501">
        <w:t xml:space="preserve">compared with the first half of 2020 </w:t>
      </w:r>
      <w:r w:rsidR="00890794">
        <w:t>for both men and women</w:t>
      </w:r>
      <w:r w:rsidR="007D6501">
        <w:t>.</w:t>
      </w:r>
    </w:p>
    <w:p w14:paraId="484542DC" w14:textId="707437E0" w:rsidR="00475A1A" w:rsidRPr="00475A1A" w:rsidRDefault="00C125AD">
      <w:pPr>
        <w:rPr>
          <w:b/>
          <w:bCs/>
          <w:noProof/>
        </w:rPr>
      </w:pPr>
      <w:r>
        <w:rPr>
          <w:b/>
          <w:bCs/>
        </w:rPr>
        <w:t xml:space="preserve">Figure 1: </w:t>
      </w:r>
      <w:r w:rsidR="00475A1A" w:rsidRPr="00475A1A">
        <w:rPr>
          <w:b/>
          <w:bCs/>
        </w:rPr>
        <w:t>Life expectancy at birth,</w:t>
      </w:r>
      <w:r>
        <w:rPr>
          <w:b/>
          <w:bCs/>
        </w:rPr>
        <w:t xml:space="preserve"> for</w:t>
      </w:r>
      <w:r w:rsidR="00475A1A" w:rsidRPr="00475A1A">
        <w:rPr>
          <w:b/>
          <w:bCs/>
        </w:rPr>
        <w:t xml:space="preserve"> </w:t>
      </w:r>
      <w:r>
        <w:rPr>
          <w:b/>
          <w:bCs/>
        </w:rPr>
        <w:t>m</w:t>
      </w:r>
      <w:r w:rsidR="00475A1A" w:rsidRPr="00475A1A">
        <w:rPr>
          <w:b/>
          <w:bCs/>
        </w:rPr>
        <w:t xml:space="preserve">ales and </w:t>
      </w:r>
      <w:r>
        <w:rPr>
          <w:b/>
          <w:bCs/>
        </w:rPr>
        <w:t>f</w:t>
      </w:r>
      <w:r w:rsidR="00475A1A" w:rsidRPr="00475A1A">
        <w:rPr>
          <w:b/>
          <w:bCs/>
        </w:rPr>
        <w:t xml:space="preserve">emales, </w:t>
      </w:r>
      <w:r>
        <w:rPr>
          <w:b/>
          <w:bCs/>
        </w:rPr>
        <w:t xml:space="preserve">from </w:t>
      </w:r>
      <w:r w:rsidR="00475A1A" w:rsidRPr="00475A1A">
        <w:rPr>
          <w:b/>
          <w:bCs/>
        </w:rPr>
        <w:t xml:space="preserve">2001 to 2020, </w:t>
      </w:r>
      <w:r>
        <w:rPr>
          <w:b/>
          <w:bCs/>
        </w:rPr>
        <w:t xml:space="preserve">in </w:t>
      </w:r>
      <w:r w:rsidR="00475A1A" w:rsidRPr="00475A1A">
        <w:rPr>
          <w:b/>
          <w:bCs/>
        </w:rPr>
        <w:t>England</w:t>
      </w:r>
      <w:r w:rsidR="00475A1A" w:rsidRPr="00475A1A">
        <w:rPr>
          <w:b/>
          <w:bCs/>
          <w:noProof/>
        </w:rPr>
        <w:t xml:space="preserve"> </w:t>
      </w:r>
    </w:p>
    <w:p w14:paraId="35090F12" w14:textId="788C4E67" w:rsidR="007D6501" w:rsidRDefault="008F43CF">
      <w:r>
        <w:rPr>
          <w:noProof/>
        </w:rPr>
        <w:drawing>
          <wp:inline distT="0" distB="0" distL="0" distR="0" wp14:anchorId="3075AB86" wp14:editId="537C7296">
            <wp:extent cx="5731510" cy="1520825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01F4" w14:textId="6844C692" w:rsidR="00890794" w:rsidRDefault="00441218">
      <w:pPr>
        <w:rPr>
          <w:b/>
          <w:bCs/>
        </w:rPr>
      </w:pPr>
      <w:r>
        <w:rPr>
          <w:b/>
          <w:bCs/>
        </w:rPr>
        <w:t>Hospital activity in children and young people</w:t>
      </w:r>
    </w:p>
    <w:p w14:paraId="5BF1F6A3" w14:textId="21E78CE5" w:rsidR="000F59EA" w:rsidRPr="000F59EA" w:rsidRDefault="000F59EA" w:rsidP="000F59EA">
      <w:pPr>
        <w:pStyle w:val="BodyText"/>
      </w:pPr>
      <w:r w:rsidRPr="00730191">
        <w:t>In children and young people, rates of hospital admissions</w:t>
      </w:r>
      <w:r>
        <w:t xml:space="preserve"> during the pandemic,</w:t>
      </w:r>
      <w:r w:rsidRPr="00730191">
        <w:t xml:space="preserve"> from April to December 2020 were generally below the average rates in 2018 and 2019 for equivalent months. </w:t>
      </w:r>
    </w:p>
    <w:p w14:paraId="6EB9E116" w14:textId="49BC2509" w:rsidR="00740890" w:rsidRDefault="0085353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A433B32" wp14:editId="51E59559">
            <wp:simplePos x="0" y="0"/>
            <wp:positionH relativeFrom="column">
              <wp:posOffset>563080</wp:posOffset>
            </wp:positionH>
            <wp:positionV relativeFrom="paragraph">
              <wp:posOffset>2971579</wp:posOffset>
            </wp:positionV>
            <wp:extent cx="2933700" cy="190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5AD">
        <w:rPr>
          <w:b/>
          <w:bCs/>
        </w:rPr>
        <w:t xml:space="preserve">Figure 2: </w:t>
      </w:r>
      <w:r w:rsidR="00475A1A">
        <w:rPr>
          <w:b/>
          <w:bCs/>
        </w:rPr>
        <w:t>M</w:t>
      </w:r>
      <w:r w:rsidR="00740890" w:rsidRPr="00740890">
        <w:rPr>
          <w:b/>
          <w:bCs/>
        </w:rPr>
        <w:t>onthly trend in hospital admission</w:t>
      </w:r>
      <w:r w:rsidR="001B158D">
        <w:rPr>
          <w:b/>
          <w:bCs/>
        </w:rPr>
        <w:t xml:space="preserve"> rate</w:t>
      </w:r>
      <w:r w:rsidR="00740890" w:rsidRPr="00740890">
        <w:rPr>
          <w:b/>
          <w:bCs/>
        </w:rPr>
        <w:t xml:space="preserve"> </w:t>
      </w:r>
      <w:r w:rsidR="000F59EA">
        <w:rPr>
          <w:b/>
          <w:bCs/>
        </w:rPr>
        <w:t xml:space="preserve">per 100,000 population </w:t>
      </w:r>
      <w:r w:rsidR="00740890" w:rsidRPr="00740890">
        <w:rPr>
          <w:b/>
          <w:bCs/>
        </w:rPr>
        <w:t xml:space="preserve">for bronchiolitis </w:t>
      </w:r>
      <w:r w:rsidR="00475A1A">
        <w:rPr>
          <w:b/>
          <w:bCs/>
        </w:rPr>
        <w:t>in 2020 and 2021 c</w:t>
      </w:r>
      <w:r w:rsidR="00740890" w:rsidRPr="00740890">
        <w:rPr>
          <w:b/>
          <w:bCs/>
        </w:rPr>
        <w:t xml:space="preserve">ompared </w:t>
      </w:r>
      <w:r w:rsidR="00096D7A">
        <w:rPr>
          <w:b/>
          <w:bCs/>
        </w:rPr>
        <w:t>with</w:t>
      </w:r>
      <w:r w:rsidR="00740890" w:rsidRPr="00740890">
        <w:rPr>
          <w:b/>
          <w:bCs/>
        </w:rPr>
        <w:t xml:space="preserve"> </w:t>
      </w:r>
      <w:r w:rsidR="00475A1A">
        <w:rPr>
          <w:b/>
          <w:bCs/>
        </w:rPr>
        <w:t xml:space="preserve">2018 and 2019 </w:t>
      </w:r>
      <w:r w:rsidR="00740890" w:rsidRPr="00740890">
        <w:rPr>
          <w:b/>
          <w:bCs/>
        </w:rPr>
        <w:t>baseline</w:t>
      </w:r>
      <w:r w:rsidR="00475A1A">
        <w:rPr>
          <w:b/>
          <w:bCs/>
        </w:rPr>
        <w:t xml:space="preserve"> average</w:t>
      </w:r>
      <w:r w:rsidR="00C125AD">
        <w:rPr>
          <w:b/>
          <w:bCs/>
        </w:rPr>
        <w:t xml:space="preserve"> in</w:t>
      </w:r>
      <w:r w:rsidR="000F59EA">
        <w:rPr>
          <w:b/>
          <w:bCs/>
        </w:rPr>
        <w:t xml:space="preserve"> </w:t>
      </w:r>
      <w:r w:rsidR="000F59EA" w:rsidRPr="00740890">
        <w:rPr>
          <w:b/>
          <w:bCs/>
        </w:rPr>
        <w:t>0</w:t>
      </w:r>
      <w:r w:rsidR="006303CB">
        <w:rPr>
          <w:b/>
          <w:bCs/>
        </w:rPr>
        <w:t xml:space="preserve"> to </w:t>
      </w:r>
      <w:proofErr w:type="gramStart"/>
      <w:r w:rsidR="000F59EA" w:rsidRPr="00740890">
        <w:rPr>
          <w:b/>
          <w:bCs/>
        </w:rPr>
        <w:t>1</w:t>
      </w:r>
      <w:r w:rsidR="000F59EA">
        <w:rPr>
          <w:b/>
          <w:bCs/>
        </w:rPr>
        <w:t xml:space="preserve"> year</w:t>
      </w:r>
      <w:proofErr w:type="gramEnd"/>
      <w:r w:rsidR="000F59EA">
        <w:rPr>
          <w:b/>
          <w:bCs/>
        </w:rPr>
        <w:t xml:space="preserve"> olds</w:t>
      </w:r>
      <w:r w:rsidR="00C125AD">
        <w:rPr>
          <w:b/>
          <w:bCs/>
        </w:rPr>
        <w:t xml:space="preserve"> in</w:t>
      </w:r>
      <w:r w:rsidR="00740890" w:rsidRPr="00740890">
        <w:rPr>
          <w:b/>
          <w:bCs/>
        </w:rPr>
        <w:t xml:space="preserve"> England</w:t>
      </w:r>
      <w:r>
        <w:rPr>
          <w:b/>
          <w:bCs/>
          <w:noProof/>
        </w:rPr>
        <w:drawing>
          <wp:inline distT="0" distB="0" distL="0" distR="0" wp14:anchorId="59FC4754" wp14:editId="3E49525C">
            <wp:extent cx="3888105" cy="2369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81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5FF69" w14:textId="175814A7" w:rsidR="00441218" w:rsidRPr="00265E12" w:rsidRDefault="0033757D" w:rsidP="00441218">
      <w:pPr>
        <w:pStyle w:val="BodyText"/>
      </w:pPr>
      <w:r>
        <w:lastRenderedPageBreak/>
        <w:t>Between</w:t>
      </w:r>
      <w:r w:rsidR="00441218" w:rsidRPr="00265E12">
        <w:t xml:space="preserve"> March 2020 to May 2021, levels of bronchiolitis admissions </w:t>
      </w:r>
      <w:r>
        <w:t>were</w:t>
      </w:r>
      <w:r w:rsidR="00441218" w:rsidRPr="00265E12">
        <w:t xml:space="preserve"> lower than the comparison baseline. In June 2021 levels of admission were above the baseline. </w:t>
      </w:r>
      <w:r w:rsidR="004F43DD">
        <w:t>This</w:t>
      </w:r>
      <w:r>
        <w:t xml:space="preserve"> off-season</w:t>
      </w:r>
      <w:r w:rsidR="00441218" w:rsidRPr="00265E12">
        <w:t xml:space="preserve"> rise in infections</w:t>
      </w:r>
      <w:r w:rsidR="004F43DD">
        <w:t xml:space="preserve"> h</w:t>
      </w:r>
      <w:r w:rsidR="004F43DD" w:rsidRPr="00265E12">
        <w:t>a</w:t>
      </w:r>
      <w:r w:rsidR="004F43DD">
        <w:t xml:space="preserve">s </w:t>
      </w:r>
      <w:r w:rsidR="00441218" w:rsidRPr="00265E12">
        <w:t>been attributed to the reduced levels of infection during 2020 and early 2021 resulting in a lower level of i</w:t>
      </w:r>
      <w:r w:rsidR="00484465">
        <w:t>mmunity</w:t>
      </w:r>
      <w:r w:rsidR="00441218" w:rsidRPr="00265E12">
        <w:t>.</w:t>
      </w:r>
    </w:p>
    <w:p w14:paraId="419E8D45" w14:textId="77777777" w:rsidR="008F43CF" w:rsidRDefault="008F43CF">
      <w:pPr>
        <w:rPr>
          <w:b/>
          <w:bCs/>
        </w:rPr>
      </w:pPr>
    </w:p>
    <w:p w14:paraId="100B364B" w14:textId="39ABBA77" w:rsidR="00890794" w:rsidRDefault="00890794">
      <w:pPr>
        <w:rPr>
          <w:b/>
          <w:bCs/>
        </w:rPr>
      </w:pPr>
      <w:r>
        <w:rPr>
          <w:b/>
          <w:bCs/>
        </w:rPr>
        <w:t>Employment</w:t>
      </w:r>
    </w:p>
    <w:p w14:paraId="397779B2" w14:textId="4CE62081" w:rsidR="005E38C8" w:rsidRDefault="00475A1A" w:rsidP="005E38C8">
      <w:pPr>
        <w:spacing w:after="0"/>
        <w:rPr>
          <w:b/>
          <w:bCs/>
        </w:rPr>
      </w:pPr>
      <w:r>
        <w:rPr>
          <w:b/>
          <w:bCs/>
        </w:rPr>
        <w:t>Figure 3:</w:t>
      </w:r>
      <w:r w:rsidR="006303CB">
        <w:rPr>
          <w:b/>
          <w:bCs/>
        </w:rPr>
        <w:t xml:space="preserve"> </w:t>
      </w:r>
      <w:r>
        <w:rPr>
          <w:b/>
          <w:bCs/>
        </w:rPr>
        <w:t>T</w:t>
      </w:r>
      <w:r w:rsidR="005E38C8">
        <w:rPr>
          <w:b/>
          <w:bCs/>
        </w:rPr>
        <w:t>rend in proportion of resident population</w:t>
      </w:r>
    </w:p>
    <w:p w14:paraId="2AFFAE4C" w14:textId="365E15B9" w:rsidR="005E38C8" w:rsidRDefault="005E38C8">
      <w:pPr>
        <w:rPr>
          <w:b/>
          <w:bCs/>
        </w:rPr>
      </w:pPr>
      <w:r>
        <w:rPr>
          <w:b/>
          <w:bCs/>
        </w:rPr>
        <w:t xml:space="preserve">aged 16 to 64 claiming unemployment benefits </w:t>
      </w:r>
      <w:r w:rsidR="00475A1A">
        <w:rPr>
          <w:b/>
          <w:bCs/>
        </w:rPr>
        <w:t>by sex</w:t>
      </w:r>
      <w:r w:rsidR="00C125AD">
        <w:rPr>
          <w:b/>
          <w:bCs/>
        </w:rPr>
        <w:t xml:space="preserve"> from </w:t>
      </w:r>
      <w:r w:rsidR="00475A1A">
        <w:rPr>
          <w:b/>
          <w:bCs/>
        </w:rPr>
        <w:t xml:space="preserve">January 2019 to October 2021 </w:t>
      </w:r>
      <w:r w:rsidR="00C125AD">
        <w:rPr>
          <w:b/>
          <w:bCs/>
        </w:rPr>
        <w:t xml:space="preserve">in </w:t>
      </w:r>
      <w:r>
        <w:rPr>
          <w:b/>
          <w:bCs/>
        </w:rPr>
        <w:t>England</w:t>
      </w:r>
    </w:p>
    <w:p w14:paraId="52742DC0" w14:textId="2CDCF580" w:rsidR="008F43CF" w:rsidRDefault="008F43C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C2FFF9" wp14:editId="0AF43222">
            <wp:extent cx="5573864" cy="3632337"/>
            <wp:effectExtent l="0" t="0" r="8255" b="6350"/>
            <wp:docPr id="14" name="Picture 1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496" cy="36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A25A" w14:textId="72CFE0C0" w:rsidR="00583E8F" w:rsidRPr="00886B84" w:rsidRDefault="00583E8F" w:rsidP="00583E8F">
      <w:pPr>
        <w:pStyle w:val="FirstParagraph"/>
      </w:pPr>
      <w:r w:rsidRPr="00886B84">
        <w:t xml:space="preserve">The proportion of </w:t>
      </w:r>
      <w:r w:rsidR="00936D68">
        <w:t>people</w:t>
      </w:r>
      <w:r w:rsidR="00936D68" w:rsidRPr="00886B84">
        <w:t xml:space="preserve"> </w:t>
      </w:r>
      <w:r w:rsidRPr="00886B84">
        <w:t>claiming unemployment benefits more than doubled between March 2020 and May 2020</w:t>
      </w:r>
      <w:r w:rsidR="00484465">
        <w:t xml:space="preserve">. </w:t>
      </w:r>
      <w:r w:rsidRPr="00886B84">
        <w:t>The proportion of claimants</w:t>
      </w:r>
      <w:r w:rsidR="00484465">
        <w:t xml:space="preserve"> </w:t>
      </w:r>
      <w:r w:rsidRPr="00886B84">
        <w:t xml:space="preserve">decreased from </w:t>
      </w:r>
      <w:r w:rsidRPr="004D1ABD">
        <w:t xml:space="preserve">April to </w:t>
      </w:r>
      <w:r w:rsidR="00B12511">
        <w:t>October 2021 whilst remaining above pre-pandemic levels.</w:t>
      </w:r>
    </w:p>
    <w:p w14:paraId="25F3D54C" w14:textId="77777777" w:rsidR="008F43CF" w:rsidRDefault="008F43CF">
      <w:pPr>
        <w:rPr>
          <w:b/>
          <w:bCs/>
        </w:rPr>
      </w:pPr>
    </w:p>
    <w:p w14:paraId="4DE86DB1" w14:textId="68BACB49" w:rsidR="00583E8F" w:rsidRDefault="00583E8F">
      <w:pPr>
        <w:rPr>
          <w:b/>
          <w:bCs/>
        </w:rPr>
      </w:pPr>
      <w:r>
        <w:rPr>
          <w:b/>
          <w:bCs/>
        </w:rPr>
        <w:t>Alcohol</w:t>
      </w:r>
      <w:r w:rsidR="005E38C8">
        <w:rPr>
          <w:b/>
          <w:bCs/>
        </w:rPr>
        <w:t xml:space="preserve"> consumption and related mortality</w:t>
      </w:r>
    </w:p>
    <w:p w14:paraId="677575D9" w14:textId="77777777" w:rsidR="008F43CF" w:rsidRDefault="008F43CF" w:rsidP="008F43CF">
      <w:pPr>
        <w:pStyle w:val="FirstParagraph"/>
      </w:pPr>
      <w:r w:rsidRPr="00886B84">
        <w:t xml:space="preserve">There was an increase in the proportion of ‘increasing and higher risk’ drinkers from April to June 2020. </w:t>
      </w:r>
      <w:r>
        <w:t>After that the</w:t>
      </w:r>
      <w:r w:rsidRPr="00886B84">
        <w:t xml:space="preserve"> </w:t>
      </w:r>
      <w:r>
        <w:t>proportion</w:t>
      </w:r>
      <w:r w:rsidRPr="00886B84">
        <w:t xml:space="preserve"> declined slightly but </w:t>
      </w:r>
      <w:r w:rsidRPr="004D1ABD">
        <w:t xml:space="preserve">remained consistently higher than 2019. From April 2021 to </w:t>
      </w:r>
      <w:r>
        <w:t>October</w:t>
      </w:r>
      <w:r w:rsidRPr="004D1ABD">
        <w:t xml:space="preserve"> 2021, following the ending of most social restrictions and</w:t>
      </w:r>
      <w:r w:rsidRPr="00886B84">
        <w:t xml:space="preserve"> the opening of non-essential shops, the proportion of ‘increasing and higher’ risk drinkers increase</w:t>
      </w:r>
      <w:r>
        <w:t>d</w:t>
      </w:r>
      <w:r w:rsidRPr="00886B84">
        <w:t xml:space="preserve"> again.</w:t>
      </w:r>
    </w:p>
    <w:p w14:paraId="78C18684" w14:textId="77777777" w:rsidR="008F43CF" w:rsidRDefault="008F43CF" w:rsidP="008F43CF">
      <w:pPr>
        <w:spacing w:after="0"/>
        <w:rPr>
          <w:b/>
          <w:bCs/>
        </w:rPr>
      </w:pPr>
    </w:p>
    <w:p w14:paraId="7F157C7B" w14:textId="77777777" w:rsidR="008F43CF" w:rsidRDefault="008F43CF" w:rsidP="008F43CF">
      <w:pPr>
        <w:spacing w:after="0"/>
        <w:rPr>
          <w:b/>
          <w:bCs/>
        </w:rPr>
      </w:pPr>
    </w:p>
    <w:p w14:paraId="49E7B64F" w14:textId="77777777" w:rsidR="008F43CF" w:rsidRDefault="008F43CF" w:rsidP="008F43CF">
      <w:pPr>
        <w:spacing w:after="0"/>
        <w:rPr>
          <w:b/>
          <w:bCs/>
        </w:rPr>
      </w:pPr>
    </w:p>
    <w:p w14:paraId="01F239E0" w14:textId="77777777" w:rsidR="008F43CF" w:rsidRDefault="008F43CF" w:rsidP="008F43CF">
      <w:pPr>
        <w:spacing w:after="0"/>
        <w:rPr>
          <w:b/>
          <w:bCs/>
        </w:rPr>
      </w:pPr>
    </w:p>
    <w:p w14:paraId="4615AF15" w14:textId="35D5210A" w:rsidR="008F43CF" w:rsidRDefault="008F43CF" w:rsidP="008F43CF">
      <w:pPr>
        <w:spacing w:after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F3505F2" wp14:editId="71F43218">
            <wp:simplePos x="0" y="0"/>
            <wp:positionH relativeFrom="column">
              <wp:posOffset>-48343</wp:posOffset>
            </wp:positionH>
            <wp:positionV relativeFrom="paragraph">
              <wp:posOffset>421005</wp:posOffset>
            </wp:positionV>
            <wp:extent cx="5955526" cy="2686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26" cy="26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Figure 4: Trend in prevalence of increasing and higher risk drinking, from May 2014 to October 2021 in England</w:t>
      </w:r>
    </w:p>
    <w:p w14:paraId="3D58BAB4" w14:textId="0227397D" w:rsidR="008F43CF" w:rsidRDefault="008F43CF"/>
    <w:p w14:paraId="0DBB1ADF" w14:textId="3EF7A3EE" w:rsidR="00583E8F" w:rsidRDefault="00C125AD">
      <w:r>
        <w:t>M</w:t>
      </w:r>
      <w:r w:rsidR="00221F62" w:rsidRPr="00886B84">
        <w:t xml:space="preserve">ortality rates for alcohol-specific conditions were higher for all months from May 2020 </w:t>
      </w:r>
      <w:r w:rsidR="00221F62" w:rsidRPr="008F0EE5">
        <w:t xml:space="preserve">to </w:t>
      </w:r>
      <w:r w:rsidR="00385194">
        <w:t>September</w:t>
      </w:r>
      <w:r w:rsidR="00221F62" w:rsidRPr="00886B84">
        <w:t xml:space="preserve"> 2021 than in the same months at baseline (2018 and 2019 combined).</w:t>
      </w:r>
    </w:p>
    <w:p w14:paraId="70D5BC69" w14:textId="00F593C8" w:rsidR="005E38C8" w:rsidRPr="00583E8F" w:rsidRDefault="006303CB" w:rsidP="006303CB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9DF22B7" wp14:editId="131D1A7D">
            <wp:simplePos x="0" y="0"/>
            <wp:positionH relativeFrom="margin">
              <wp:posOffset>47708</wp:posOffset>
            </wp:positionH>
            <wp:positionV relativeFrom="paragraph">
              <wp:posOffset>398780</wp:posOffset>
            </wp:positionV>
            <wp:extent cx="5619750" cy="2385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54">
        <w:rPr>
          <w:b/>
          <w:bCs/>
        </w:rPr>
        <w:t>Figure 5:</w:t>
      </w:r>
      <w:r>
        <w:rPr>
          <w:b/>
          <w:bCs/>
        </w:rPr>
        <w:t xml:space="preserve"> </w:t>
      </w:r>
      <w:r w:rsidR="004F0C54">
        <w:rPr>
          <w:b/>
          <w:bCs/>
        </w:rPr>
        <w:t>M</w:t>
      </w:r>
      <w:r w:rsidR="005E38C8" w:rsidRPr="005E38C8">
        <w:rPr>
          <w:b/>
          <w:bCs/>
        </w:rPr>
        <w:t xml:space="preserve">onthly trend in mortality </w:t>
      </w:r>
      <w:r>
        <w:rPr>
          <w:b/>
          <w:bCs/>
        </w:rPr>
        <w:t xml:space="preserve">per 100,000 population </w:t>
      </w:r>
      <w:r w:rsidR="005E38C8" w:rsidRPr="005E38C8">
        <w:rPr>
          <w:b/>
          <w:bCs/>
        </w:rPr>
        <w:t>for all alcohol-specific conditions in England</w:t>
      </w:r>
    </w:p>
    <w:sectPr w:rsidR="005E38C8" w:rsidRPr="0058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76"/>
    <w:rsid w:val="000661F5"/>
    <w:rsid w:val="00096D7A"/>
    <w:rsid w:val="000E1BE2"/>
    <w:rsid w:val="000F59EA"/>
    <w:rsid w:val="001005B0"/>
    <w:rsid w:val="001A25BF"/>
    <w:rsid w:val="001A7752"/>
    <w:rsid w:val="001B158D"/>
    <w:rsid w:val="001B3DA6"/>
    <w:rsid w:val="00221F62"/>
    <w:rsid w:val="00230802"/>
    <w:rsid w:val="00233281"/>
    <w:rsid w:val="00242E28"/>
    <w:rsid w:val="0025075B"/>
    <w:rsid w:val="00265E12"/>
    <w:rsid w:val="003102C5"/>
    <w:rsid w:val="0033757D"/>
    <w:rsid w:val="00344788"/>
    <w:rsid w:val="00353782"/>
    <w:rsid w:val="00385194"/>
    <w:rsid w:val="00441218"/>
    <w:rsid w:val="00446F7C"/>
    <w:rsid w:val="00475A1A"/>
    <w:rsid w:val="00484465"/>
    <w:rsid w:val="004C74EF"/>
    <w:rsid w:val="004D1ABD"/>
    <w:rsid w:val="004F0C54"/>
    <w:rsid w:val="004F43DD"/>
    <w:rsid w:val="004F73BC"/>
    <w:rsid w:val="00521162"/>
    <w:rsid w:val="00583E8F"/>
    <w:rsid w:val="005B2976"/>
    <w:rsid w:val="005C57E3"/>
    <w:rsid w:val="005E38C8"/>
    <w:rsid w:val="006303CB"/>
    <w:rsid w:val="00681A7C"/>
    <w:rsid w:val="006E5061"/>
    <w:rsid w:val="00734454"/>
    <w:rsid w:val="00740890"/>
    <w:rsid w:val="00750543"/>
    <w:rsid w:val="007B2883"/>
    <w:rsid w:val="007D6501"/>
    <w:rsid w:val="00853531"/>
    <w:rsid w:val="00890794"/>
    <w:rsid w:val="008B649F"/>
    <w:rsid w:val="008B6E0F"/>
    <w:rsid w:val="008F0EE5"/>
    <w:rsid w:val="008F43CF"/>
    <w:rsid w:val="00902908"/>
    <w:rsid w:val="00927419"/>
    <w:rsid w:val="00933F89"/>
    <w:rsid w:val="00936D68"/>
    <w:rsid w:val="009C5E1E"/>
    <w:rsid w:val="009F5406"/>
    <w:rsid w:val="00A3080C"/>
    <w:rsid w:val="00A55321"/>
    <w:rsid w:val="00A97B70"/>
    <w:rsid w:val="00B12511"/>
    <w:rsid w:val="00C125AD"/>
    <w:rsid w:val="00CB4E98"/>
    <w:rsid w:val="00D00515"/>
    <w:rsid w:val="00D04BF2"/>
    <w:rsid w:val="00D34AAE"/>
    <w:rsid w:val="00DB07B3"/>
    <w:rsid w:val="00EF404D"/>
    <w:rsid w:val="00F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ECBE"/>
  <w15:chartTrackingRefBased/>
  <w15:docId w15:val="{0161A9D8-AA27-4F24-8399-5905B40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681A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A7C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81A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A7C"/>
  </w:style>
  <w:style w:type="character" w:customStyle="1" w:styleId="Heading3Char">
    <w:name w:val="Heading 3 Char"/>
    <w:basedOn w:val="DefaultParagraphFont"/>
    <w:link w:val="Heading3"/>
    <w:uiPriority w:val="9"/>
    <w:rsid w:val="00681A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681A7C"/>
    <w:pPr>
      <w:spacing w:before="180" w:after="18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1227-792C-478A-A9E8-CA69412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Morgan</dc:creator>
  <cp:keywords/>
  <dc:description/>
  <cp:lastModifiedBy>Kate Hutchinson</cp:lastModifiedBy>
  <cp:revision>2</cp:revision>
  <dcterms:created xsi:type="dcterms:W3CDTF">2022-02-14T11:42:00Z</dcterms:created>
  <dcterms:modified xsi:type="dcterms:W3CDTF">2022-02-14T11:42:00Z</dcterms:modified>
</cp:coreProperties>
</file>