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259D" w14:textId="3A3286E3" w:rsidR="006B2986" w:rsidRPr="005C57E3" w:rsidRDefault="006B2986" w:rsidP="006B2986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5C57E3">
        <w:rPr>
          <w:rFonts w:ascii="Arial" w:hAnsi="Arial" w:cs="Arial"/>
          <w:color w:val="auto"/>
          <w:sz w:val="24"/>
          <w:szCs w:val="24"/>
        </w:rPr>
        <w:t xml:space="preserve">Wider Impacts of COVID-19 on Health (WICH) 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summary, </w:t>
      </w:r>
      <w:r w:rsidR="008B6BD6">
        <w:rPr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B6BD6">
        <w:rPr>
          <w:rFonts w:ascii="Arial" w:hAnsi="Arial" w:cs="Arial"/>
          <w:b w:val="0"/>
          <w:bCs w:val="0"/>
          <w:color w:val="auto"/>
          <w:sz w:val="24"/>
          <w:szCs w:val="24"/>
        </w:rPr>
        <w:t>April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202</w:t>
      </w:r>
      <w:r w:rsidR="00065E36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14:paraId="1F8BCE21" w14:textId="77777777" w:rsidR="006B2986" w:rsidRPr="005C57E3" w:rsidRDefault="006B2986" w:rsidP="006B2986"/>
    <w:p w14:paraId="516F9683" w14:textId="77777777" w:rsidR="006B2986" w:rsidRPr="005C57E3" w:rsidRDefault="006B2986" w:rsidP="006B2986">
      <w:pPr>
        <w:pStyle w:val="Heading3"/>
        <w:rPr>
          <w:rFonts w:ascii="Arial" w:hAnsi="Arial" w:cs="Arial"/>
          <w:b/>
          <w:bCs/>
          <w:color w:val="auto"/>
        </w:rPr>
      </w:pPr>
      <w:r w:rsidRPr="005C57E3">
        <w:rPr>
          <w:rFonts w:ascii="Arial" w:hAnsi="Arial" w:cs="Arial"/>
          <w:b/>
          <w:bCs/>
          <w:color w:val="auto"/>
        </w:rPr>
        <w:t>Overview</w:t>
      </w:r>
    </w:p>
    <w:p w14:paraId="752FDD61" w14:textId="4778F317" w:rsidR="004A1ED5" w:rsidRPr="005E55D0" w:rsidRDefault="006B2986" w:rsidP="005E55D0">
      <w:pPr>
        <w:pStyle w:val="BodyText"/>
      </w:pPr>
      <w:r>
        <w:t xml:space="preserve">This summary provides the main messages for </w:t>
      </w:r>
      <w:r w:rsidR="00AC4AFD">
        <w:t xml:space="preserve">some of the </w:t>
      </w:r>
      <w:r>
        <w:t xml:space="preserve">metrics updated </w:t>
      </w:r>
      <w:r w:rsidR="009A0588">
        <w:t>in this release</w:t>
      </w:r>
      <w:r>
        <w:t xml:space="preserve">. </w:t>
      </w:r>
      <w:r w:rsidR="00094E38">
        <w:t xml:space="preserve">It </w:t>
      </w:r>
      <w:r w:rsidR="004A1ED5">
        <w:t xml:space="preserve">will cover </w:t>
      </w:r>
      <w:r w:rsidR="00094E38">
        <w:t>the neurological care metrics</w:t>
      </w:r>
      <w:r w:rsidR="00EA39DE">
        <w:t>,</w:t>
      </w:r>
      <w:r w:rsidR="00094E38">
        <w:t xml:space="preserve"> including outpatient and telephone neurologist appointments, and smoking prevalence. </w:t>
      </w:r>
      <w:r w:rsidR="004A1ED5">
        <w:t xml:space="preserve">Other updated </w:t>
      </w:r>
      <w:r w:rsidR="00A65747">
        <w:t>themes</w:t>
      </w:r>
      <w:r w:rsidR="00AC4AFD">
        <w:t xml:space="preserve"> not discussed</w:t>
      </w:r>
      <w:r w:rsidR="004A1ED5">
        <w:t xml:space="preserve"> inclu</w:t>
      </w:r>
      <w:r w:rsidR="00A65747">
        <w:t>de</w:t>
      </w:r>
      <w:r w:rsidR="00094E38">
        <w:t xml:space="preserve"> vision, dementia and Alzheimer’s disease and alcohol.</w:t>
      </w:r>
    </w:p>
    <w:p w14:paraId="0697AAD7" w14:textId="4FA442CE" w:rsidR="006B2986" w:rsidRPr="005C57E3" w:rsidRDefault="006B2986" w:rsidP="006B2986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Main messages</w:t>
      </w:r>
    </w:p>
    <w:p w14:paraId="4B3E1E32" w14:textId="502A7FF3" w:rsidR="004C4E29" w:rsidRDefault="008B6BD6" w:rsidP="00406E73">
      <w:pPr>
        <w:rPr>
          <w:b/>
          <w:bCs/>
        </w:rPr>
      </w:pPr>
      <w:r>
        <w:rPr>
          <w:b/>
          <w:bCs/>
        </w:rPr>
        <w:t xml:space="preserve">Neurological care </w:t>
      </w:r>
    </w:p>
    <w:p w14:paraId="50A4B2CA" w14:textId="1988E50F" w:rsidR="00697541" w:rsidRPr="00736299" w:rsidRDefault="00843219" w:rsidP="00697541">
      <w:r>
        <w:t xml:space="preserve">Neurology is generally a tertiary special service, with </w:t>
      </w:r>
      <w:proofErr w:type="gramStart"/>
      <w:r>
        <w:t>the majority of</w:t>
      </w:r>
      <w:proofErr w:type="gramEnd"/>
      <w:r>
        <w:t xml:space="preserve"> activity undertaken through either elective outpatient consultations or non-elective hospital clinical referrals. Since the end of the first wave of the pandemic (June 2020) specialist neurological outpatient </w:t>
      </w:r>
      <w:r w:rsidRPr="00736299">
        <w:t>services have been functioning near to the baseline trend of 2019</w:t>
      </w:r>
      <w:r w:rsidR="00697541" w:rsidRPr="00736299">
        <w:t xml:space="preserve"> (Figure 1)</w:t>
      </w:r>
      <w:r w:rsidRPr="00736299">
        <w:t>, with an approximate 2% increase in appointments undertaken by the end of 2021</w:t>
      </w:r>
      <w:r w:rsidR="00CF1C31" w:rsidRPr="00736299">
        <w:t xml:space="preserve"> (Figure </w:t>
      </w:r>
      <w:r w:rsidR="00697541" w:rsidRPr="00736299">
        <w:t>2</w:t>
      </w:r>
      <w:r w:rsidR="00344DAA" w:rsidRPr="00736299">
        <w:t>)</w:t>
      </w:r>
      <w:r w:rsidRPr="00736299">
        <w:t>.</w:t>
      </w:r>
      <w:r w:rsidR="00697541" w:rsidRPr="00736299">
        <w:t xml:space="preserve"> </w:t>
      </w:r>
    </w:p>
    <w:p w14:paraId="1DBA1264" w14:textId="7CAFC906" w:rsidR="00843219" w:rsidRDefault="00697541" w:rsidP="00843219">
      <w:r w:rsidRPr="00736299">
        <w:t xml:space="preserve">Figure 2 shows that the increase in activity between 2019 and 2021 was driven by larger demand for appointments from people aged 20 to 39 years of age (6.4% increase) and those over 75 years (5.7% increase). However, the number of appointments for those aged 65 to 74 years decreased by 1.6% on the </w:t>
      </w:r>
      <w:r w:rsidR="00736299" w:rsidRPr="00736299">
        <w:t xml:space="preserve">2019 </w:t>
      </w:r>
      <w:r w:rsidRPr="00736299">
        <w:t>baseline</w:t>
      </w:r>
      <w:r w:rsidR="00736299" w:rsidRPr="00736299">
        <w:t>.</w:t>
      </w:r>
    </w:p>
    <w:p w14:paraId="4FF15A63" w14:textId="1E1A7EAD" w:rsidR="00843219" w:rsidRDefault="00843219" w:rsidP="00843219">
      <w:pPr>
        <w:rPr>
          <w:b/>
          <w:bCs/>
        </w:rPr>
      </w:pPr>
      <w:r>
        <w:rPr>
          <w:b/>
          <w:bCs/>
        </w:rPr>
        <w:t>Figure 1: Rate of outpatient neurologist consultant appointments per 100,000 population (aged 20 years and over)</w:t>
      </w:r>
    </w:p>
    <w:p w14:paraId="797A8651" w14:textId="7AD9CA6D" w:rsidR="00843219" w:rsidRPr="00843219" w:rsidRDefault="00843219" w:rsidP="00843219">
      <w:r>
        <w:rPr>
          <w:noProof/>
        </w:rPr>
        <w:drawing>
          <wp:inline distT="0" distB="0" distL="0" distR="0" wp14:anchorId="1037B9C0" wp14:editId="289D5230">
            <wp:extent cx="5731510" cy="3333750"/>
            <wp:effectExtent l="0" t="0" r="254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6F16" w14:textId="7FA09429" w:rsidR="00843219" w:rsidRPr="00843219" w:rsidRDefault="00843219" w:rsidP="00843219">
      <w:pPr>
        <w:rPr>
          <w:b/>
          <w:bCs/>
        </w:rPr>
      </w:pPr>
      <w:r w:rsidRPr="00843219">
        <w:rPr>
          <w:b/>
          <w:bCs/>
        </w:rPr>
        <w:lastRenderedPageBreak/>
        <w:t xml:space="preserve">Figure 2: </w:t>
      </w:r>
      <w:r>
        <w:rPr>
          <w:b/>
          <w:bCs/>
        </w:rPr>
        <w:t>Percentage change in outpatient appointments by age group for 2021 compared to 2019 baseline</w:t>
      </w:r>
    </w:p>
    <w:p w14:paraId="097B76B5" w14:textId="76513C09" w:rsidR="0001409E" w:rsidRDefault="00843219" w:rsidP="00406E7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790BA0" wp14:editId="58CC9196">
            <wp:extent cx="5731510" cy="2722880"/>
            <wp:effectExtent l="0" t="0" r="2540" b="127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37E2" w14:textId="58D07FD0" w:rsidR="00843219" w:rsidRDefault="00843219" w:rsidP="00843219">
      <w:r>
        <w:t xml:space="preserve">Appointments for those </w:t>
      </w:r>
      <w:r w:rsidR="002B2314">
        <w:t>in the</w:t>
      </w:r>
      <w:r>
        <w:t xml:space="preserve"> Chinese </w:t>
      </w:r>
      <w:r w:rsidR="002B2314">
        <w:t>and White ethnic groups</w:t>
      </w:r>
      <w:r>
        <w:t xml:space="preserve"> decreased </w:t>
      </w:r>
      <w:r w:rsidR="00736299">
        <w:t xml:space="preserve">between 2019 and </w:t>
      </w:r>
      <w:r>
        <w:t xml:space="preserve">2021, while </w:t>
      </w:r>
      <w:r w:rsidR="00124E7B">
        <w:t xml:space="preserve">appointments for </w:t>
      </w:r>
      <w:r>
        <w:t xml:space="preserve">all other groups increased </w:t>
      </w:r>
      <w:r w:rsidR="002B2314">
        <w:t xml:space="preserve">by </w:t>
      </w:r>
      <w:r>
        <w:t xml:space="preserve">between </w:t>
      </w:r>
      <w:r w:rsidRPr="00736299">
        <w:t>1.1% to</w:t>
      </w:r>
      <w:r>
        <w:t xml:space="preserve"> </w:t>
      </w:r>
      <w:r w:rsidR="00EE351C">
        <w:t>17.3</w:t>
      </w:r>
      <w:r>
        <w:t>%</w:t>
      </w:r>
      <w:r w:rsidR="00124E7B">
        <w:t xml:space="preserve"> (Figure 3)</w:t>
      </w:r>
      <w:r>
        <w:t>.</w:t>
      </w:r>
    </w:p>
    <w:p w14:paraId="0171B2B1" w14:textId="039127B6" w:rsidR="0001409E" w:rsidRDefault="00843219" w:rsidP="00406E73">
      <w:pPr>
        <w:rPr>
          <w:b/>
          <w:bCs/>
        </w:rPr>
      </w:pPr>
      <w:r>
        <w:rPr>
          <w:b/>
          <w:bCs/>
        </w:rPr>
        <w:t>Figure 3: Percentage change in outpatient appointments by ethnic group for 2021 compared to 2019 baseline</w:t>
      </w:r>
    </w:p>
    <w:p w14:paraId="29FF8CF2" w14:textId="7910D97D" w:rsidR="0001409E" w:rsidRPr="00843219" w:rsidRDefault="00843219" w:rsidP="00406E73">
      <w:r>
        <w:rPr>
          <w:noProof/>
        </w:rPr>
        <w:drawing>
          <wp:inline distT="0" distB="0" distL="0" distR="0" wp14:anchorId="16748BD2" wp14:editId="537BFE3C">
            <wp:extent cx="5731510" cy="2590800"/>
            <wp:effectExtent l="0" t="0" r="2540" b="0"/>
            <wp:docPr id="3" name="Picture 3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, waterfall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58F0" w14:textId="43262514" w:rsidR="00843219" w:rsidRDefault="00843219" w:rsidP="00843219">
      <w:r>
        <w:t xml:space="preserve">The </w:t>
      </w:r>
      <w:r w:rsidR="002B2314">
        <w:t xml:space="preserve">relatively </w:t>
      </w:r>
      <w:r>
        <w:t xml:space="preserve">high levels of appointments delivered during the pandemic period by specialist neurological outpatient services </w:t>
      </w:r>
      <w:r w:rsidR="00124E7B">
        <w:t>have</w:t>
      </w:r>
      <w:r>
        <w:t xml:space="preserve"> been possible due to the use of non-face-to-face appointments</w:t>
      </w:r>
      <w:r w:rsidR="00736299">
        <w:t>,</w:t>
      </w:r>
      <w:r>
        <w:t xml:space="preserve"> </w:t>
      </w:r>
      <w:r w:rsidRPr="00736299">
        <w:t xml:space="preserve">recorded in the data source as telephone consultations. By the end of </w:t>
      </w:r>
      <w:r w:rsidR="00124E7B" w:rsidRPr="00736299">
        <w:t xml:space="preserve">the first </w:t>
      </w:r>
      <w:r w:rsidRPr="00736299">
        <w:t xml:space="preserve">wave </w:t>
      </w:r>
      <w:r w:rsidR="00124E7B" w:rsidRPr="00736299">
        <w:t xml:space="preserve">of the pandemic </w:t>
      </w:r>
      <w:r w:rsidRPr="00736299">
        <w:t xml:space="preserve">the proportion of subsequent appointments being provided in </w:t>
      </w:r>
      <w:r w:rsidR="00124E7B" w:rsidRPr="00736299">
        <w:t xml:space="preserve">a </w:t>
      </w:r>
      <w:r w:rsidRPr="00736299">
        <w:t>non-face-to-face way had risen to 58.4%. This mode of delivery has remained above 45% of all neurology outpatients since April 2020. Studies are currently evaluating the effectiveness of this mode of service delivery</w:t>
      </w:r>
      <w:r>
        <w:t>.</w:t>
      </w:r>
    </w:p>
    <w:p w14:paraId="3DFFEFCF" w14:textId="77777777" w:rsidR="0097756D" w:rsidRDefault="0097756D" w:rsidP="00843219">
      <w:pPr>
        <w:rPr>
          <w:b/>
          <w:bCs/>
        </w:rPr>
      </w:pPr>
    </w:p>
    <w:p w14:paraId="259CEC5B" w14:textId="686B460F" w:rsidR="00843219" w:rsidRPr="0097756D" w:rsidRDefault="0097756D" w:rsidP="00843219">
      <w:pPr>
        <w:rPr>
          <w:b/>
          <w:bCs/>
        </w:rPr>
      </w:pPr>
      <w:r w:rsidRPr="0097756D">
        <w:rPr>
          <w:b/>
          <w:bCs/>
        </w:rPr>
        <w:t xml:space="preserve">Figure 4: Percentage of </w:t>
      </w:r>
      <w:r>
        <w:rPr>
          <w:b/>
          <w:bCs/>
        </w:rPr>
        <w:t>subsequent</w:t>
      </w:r>
      <w:r w:rsidRPr="0097756D">
        <w:rPr>
          <w:b/>
          <w:bCs/>
        </w:rPr>
        <w:t xml:space="preserve"> neurology consultant outpatient appointments delivered by telephone </w:t>
      </w:r>
      <w:r>
        <w:rPr>
          <w:b/>
          <w:bCs/>
        </w:rPr>
        <w:t>(aged 20 years and over)</w:t>
      </w:r>
    </w:p>
    <w:p w14:paraId="4AD8B120" w14:textId="7069B0B3" w:rsidR="00843219" w:rsidRPr="00843219" w:rsidRDefault="0097756D" w:rsidP="00406E73">
      <w:r>
        <w:rPr>
          <w:noProof/>
        </w:rPr>
        <w:drawing>
          <wp:inline distT="0" distB="0" distL="0" distR="0" wp14:anchorId="21ACA3C3" wp14:editId="26ECAB73">
            <wp:extent cx="5731510" cy="3675380"/>
            <wp:effectExtent l="0" t="0" r="2540" b="127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EAE5" w14:textId="77777777" w:rsidR="0077019C" w:rsidRDefault="0077019C" w:rsidP="00406E73">
      <w:pPr>
        <w:rPr>
          <w:b/>
          <w:bCs/>
        </w:rPr>
      </w:pPr>
      <w:bookmarkStart w:id="0" w:name="_Hlk101256914"/>
    </w:p>
    <w:p w14:paraId="59D3BF72" w14:textId="46D3A294" w:rsidR="0001409E" w:rsidRDefault="0001409E" w:rsidP="00406E73">
      <w:pPr>
        <w:rPr>
          <w:b/>
          <w:bCs/>
        </w:rPr>
      </w:pPr>
      <w:r>
        <w:rPr>
          <w:b/>
          <w:bCs/>
        </w:rPr>
        <w:t>Smoking prevalence</w:t>
      </w:r>
    </w:p>
    <w:p w14:paraId="1B9559F8" w14:textId="0C4CA861" w:rsidR="0001409E" w:rsidRDefault="008B7700" w:rsidP="00406E73">
      <w:pPr>
        <w:rPr>
          <w:rStyle w:val="CommentReference"/>
        </w:rPr>
      </w:pPr>
      <w:r>
        <w:t xml:space="preserve">The Smoking </w:t>
      </w:r>
      <w:r w:rsidRPr="00736299">
        <w:t>Toolkit Study is a monthly household survey, which each month involves a new representative sample of between 1</w:t>
      </w:r>
      <w:r w:rsidR="005727D6">
        <w:t>,</w:t>
      </w:r>
      <w:r w:rsidRPr="00736299">
        <w:t>700 and 1</w:t>
      </w:r>
      <w:r w:rsidR="005727D6">
        <w:t>,</w:t>
      </w:r>
      <w:r w:rsidRPr="00736299">
        <w:t xml:space="preserve">800 adults. </w:t>
      </w:r>
      <w:bookmarkStart w:id="1" w:name="_Hlk101346019"/>
      <w:r w:rsidRPr="00736299">
        <w:t xml:space="preserve">Figure </w:t>
      </w:r>
      <w:r w:rsidR="00697541" w:rsidRPr="00736299">
        <w:t>5</w:t>
      </w:r>
      <w:r w:rsidRPr="00736299">
        <w:t xml:space="preserve"> shows that</w:t>
      </w:r>
      <w:r w:rsidR="007F672E">
        <w:t xml:space="preserve"> between </w:t>
      </w:r>
      <w:r w:rsidR="007F672E" w:rsidRPr="00736299">
        <w:t xml:space="preserve">February 2020 </w:t>
      </w:r>
      <w:r w:rsidR="007F672E">
        <w:t>and</w:t>
      </w:r>
      <w:r w:rsidR="007F672E" w:rsidRPr="00736299">
        <w:t xml:space="preserve"> </w:t>
      </w:r>
      <w:r w:rsidR="007F672E">
        <w:t>February 2022,</w:t>
      </w:r>
      <w:r w:rsidRPr="00736299">
        <w:t xml:space="preserve"> the percentage of current cigarette smokers in the Smoking Toolkit Study remained between 1</w:t>
      </w:r>
      <w:r w:rsidR="00F03B03">
        <w:t>3.4</w:t>
      </w:r>
      <w:r w:rsidR="0077019C">
        <w:t>%</w:t>
      </w:r>
      <w:r w:rsidRPr="00736299">
        <w:t xml:space="preserve"> and 1</w:t>
      </w:r>
      <w:r w:rsidR="00F03B03">
        <w:t>5.4</w:t>
      </w:r>
      <w:r w:rsidRPr="00736299">
        <w:t>%</w:t>
      </w:r>
      <w:r w:rsidR="007F672E">
        <w:rPr>
          <w:rStyle w:val="CommentReference"/>
        </w:rPr>
        <w:t>.</w:t>
      </w:r>
      <w:bookmarkEnd w:id="1"/>
    </w:p>
    <w:p w14:paraId="73E457AB" w14:textId="6894AE58" w:rsidR="0077019C" w:rsidRDefault="0077019C" w:rsidP="00406E73">
      <w:pPr>
        <w:rPr>
          <w:rStyle w:val="CommentReference"/>
        </w:rPr>
      </w:pPr>
    </w:p>
    <w:p w14:paraId="2AF14B59" w14:textId="05E465F5" w:rsidR="0077019C" w:rsidRDefault="0077019C" w:rsidP="00406E73">
      <w:pPr>
        <w:rPr>
          <w:rStyle w:val="CommentReference"/>
        </w:rPr>
      </w:pPr>
    </w:p>
    <w:p w14:paraId="26282C91" w14:textId="6E4271DE" w:rsidR="0077019C" w:rsidRDefault="0077019C" w:rsidP="00406E73">
      <w:pPr>
        <w:rPr>
          <w:rStyle w:val="CommentReference"/>
        </w:rPr>
      </w:pPr>
    </w:p>
    <w:p w14:paraId="06173E86" w14:textId="44C64B4F" w:rsidR="0077019C" w:rsidRDefault="0077019C" w:rsidP="00406E73">
      <w:pPr>
        <w:rPr>
          <w:rStyle w:val="CommentReference"/>
        </w:rPr>
      </w:pPr>
    </w:p>
    <w:p w14:paraId="0643EB1F" w14:textId="769FBA6F" w:rsidR="0077019C" w:rsidRDefault="0077019C" w:rsidP="00406E73">
      <w:pPr>
        <w:rPr>
          <w:rStyle w:val="CommentReference"/>
        </w:rPr>
      </w:pPr>
    </w:p>
    <w:p w14:paraId="68C01AAD" w14:textId="2CCC3D7C" w:rsidR="0077019C" w:rsidRDefault="0077019C" w:rsidP="00406E73">
      <w:pPr>
        <w:rPr>
          <w:rStyle w:val="CommentReference"/>
        </w:rPr>
      </w:pPr>
    </w:p>
    <w:p w14:paraId="325F8155" w14:textId="14F17811" w:rsidR="0077019C" w:rsidRDefault="0077019C" w:rsidP="00406E73">
      <w:pPr>
        <w:rPr>
          <w:rStyle w:val="CommentReference"/>
        </w:rPr>
      </w:pPr>
    </w:p>
    <w:p w14:paraId="0E97E405" w14:textId="74133E00" w:rsidR="0077019C" w:rsidRDefault="0077019C" w:rsidP="00406E73">
      <w:pPr>
        <w:rPr>
          <w:rStyle w:val="CommentReference"/>
        </w:rPr>
      </w:pPr>
    </w:p>
    <w:p w14:paraId="213E69F5" w14:textId="72739B77" w:rsidR="0077019C" w:rsidRDefault="0077019C" w:rsidP="00406E73">
      <w:pPr>
        <w:rPr>
          <w:rStyle w:val="CommentReference"/>
        </w:rPr>
      </w:pPr>
    </w:p>
    <w:p w14:paraId="58201EAA" w14:textId="6345321A" w:rsidR="0077019C" w:rsidRDefault="0077019C" w:rsidP="00406E73">
      <w:pPr>
        <w:rPr>
          <w:rStyle w:val="CommentReference"/>
        </w:rPr>
      </w:pPr>
    </w:p>
    <w:p w14:paraId="36D28F63" w14:textId="77777777" w:rsidR="0077019C" w:rsidRPr="0001409E" w:rsidRDefault="0077019C" w:rsidP="00406E73"/>
    <w:p w14:paraId="1FDA6852" w14:textId="3B449605" w:rsidR="0001409E" w:rsidRDefault="0001409E" w:rsidP="00406E73">
      <w:pPr>
        <w:rPr>
          <w:b/>
          <w:bCs/>
        </w:rPr>
      </w:pPr>
      <w:r>
        <w:rPr>
          <w:b/>
          <w:bCs/>
        </w:rPr>
        <w:t xml:space="preserve">Figure </w:t>
      </w:r>
      <w:r w:rsidR="00344DAA">
        <w:rPr>
          <w:b/>
          <w:bCs/>
        </w:rPr>
        <w:t>5</w:t>
      </w:r>
      <w:r>
        <w:rPr>
          <w:b/>
          <w:bCs/>
        </w:rPr>
        <w:t xml:space="preserve">: </w:t>
      </w:r>
      <w:r w:rsidR="002F6E5B">
        <w:rPr>
          <w:b/>
          <w:bCs/>
        </w:rPr>
        <w:t xml:space="preserve">Percentage of current </w:t>
      </w:r>
      <w:r w:rsidR="00984117">
        <w:rPr>
          <w:b/>
          <w:bCs/>
        </w:rPr>
        <w:t>cigarette smokers in the</w:t>
      </w:r>
      <w:r>
        <w:rPr>
          <w:b/>
          <w:bCs/>
        </w:rPr>
        <w:t xml:space="preserve"> Smoking Toolkit Study, in England</w:t>
      </w:r>
    </w:p>
    <w:p w14:paraId="70CD805D" w14:textId="79A64960" w:rsidR="008B6BD6" w:rsidRPr="008B6BD6" w:rsidRDefault="0001409E" w:rsidP="00406E73">
      <w:r>
        <w:rPr>
          <w:noProof/>
        </w:rPr>
        <w:drawing>
          <wp:inline distT="0" distB="0" distL="0" distR="0" wp14:anchorId="7B59E06E" wp14:editId="0B517CB9">
            <wp:extent cx="5731510" cy="2654300"/>
            <wp:effectExtent l="0" t="0" r="254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BD6" w:rsidRPr="008B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61A18"/>
    <w:multiLevelType w:val="hybridMultilevel"/>
    <w:tmpl w:val="6508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86"/>
    <w:rsid w:val="00004440"/>
    <w:rsid w:val="000071C6"/>
    <w:rsid w:val="0001409E"/>
    <w:rsid w:val="00014FF6"/>
    <w:rsid w:val="00035900"/>
    <w:rsid w:val="00065E36"/>
    <w:rsid w:val="00066AFD"/>
    <w:rsid w:val="00094E38"/>
    <w:rsid w:val="000B380D"/>
    <w:rsid w:val="000D2CC3"/>
    <w:rsid w:val="000E7854"/>
    <w:rsid w:val="000F5D62"/>
    <w:rsid w:val="00124E7B"/>
    <w:rsid w:val="001358EB"/>
    <w:rsid w:val="00142609"/>
    <w:rsid w:val="00150FC7"/>
    <w:rsid w:val="00162E1E"/>
    <w:rsid w:val="00166107"/>
    <w:rsid w:val="00182CAE"/>
    <w:rsid w:val="001A6F8E"/>
    <w:rsid w:val="001B15D0"/>
    <w:rsid w:val="00202B86"/>
    <w:rsid w:val="00251892"/>
    <w:rsid w:val="00284E5E"/>
    <w:rsid w:val="00290107"/>
    <w:rsid w:val="002A650A"/>
    <w:rsid w:val="002B1157"/>
    <w:rsid w:val="002B2314"/>
    <w:rsid w:val="002C5210"/>
    <w:rsid w:val="002C6612"/>
    <w:rsid w:val="002F599B"/>
    <w:rsid w:val="002F6E5B"/>
    <w:rsid w:val="00300DE7"/>
    <w:rsid w:val="00331BE6"/>
    <w:rsid w:val="00344DAA"/>
    <w:rsid w:val="003526F2"/>
    <w:rsid w:val="00357D0E"/>
    <w:rsid w:val="003616C5"/>
    <w:rsid w:val="00377D76"/>
    <w:rsid w:val="00381AA8"/>
    <w:rsid w:val="00384160"/>
    <w:rsid w:val="003C2F85"/>
    <w:rsid w:val="003D725E"/>
    <w:rsid w:val="00406E73"/>
    <w:rsid w:val="004131E8"/>
    <w:rsid w:val="00413490"/>
    <w:rsid w:val="004211F2"/>
    <w:rsid w:val="004576C8"/>
    <w:rsid w:val="00490C88"/>
    <w:rsid w:val="004A1B20"/>
    <w:rsid w:val="004A1ED5"/>
    <w:rsid w:val="004C4E29"/>
    <w:rsid w:val="004E4F20"/>
    <w:rsid w:val="005048C9"/>
    <w:rsid w:val="00520C1E"/>
    <w:rsid w:val="005370D0"/>
    <w:rsid w:val="00540080"/>
    <w:rsid w:val="0054102D"/>
    <w:rsid w:val="005614B7"/>
    <w:rsid w:val="005727D6"/>
    <w:rsid w:val="00582379"/>
    <w:rsid w:val="00585A57"/>
    <w:rsid w:val="0059366D"/>
    <w:rsid w:val="005D1DC8"/>
    <w:rsid w:val="005E466F"/>
    <w:rsid w:val="005E55D0"/>
    <w:rsid w:val="00624EC1"/>
    <w:rsid w:val="00640CFE"/>
    <w:rsid w:val="006646F2"/>
    <w:rsid w:val="00676387"/>
    <w:rsid w:val="00677AEC"/>
    <w:rsid w:val="0069361B"/>
    <w:rsid w:val="00697541"/>
    <w:rsid w:val="006B2986"/>
    <w:rsid w:val="006C1EBF"/>
    <w:rsid w:val="006C676A"/>
    <w:rsid w:val="006D4690"/>
    <w:rsid w:val="006D5B57"/>
    <w:rsid w:val="006F333D"/>
    <w:rsid w:val="006F3800"/>
    <w:rsid w:val="00714611"/>
    <w:rsid w:val="00720B57"/>
    <w:rsid w:val="00722516"/>
    <w:rsid w:val="0072738F"/>
    <w:rsid w:val="0073041E"/>
    <w:rsid w:val="00731A8D"/>
    <w:rsid w:val="007335B7"/>
    <w:rsid w:val="00736299"/>
    <w:rsid w:val="0077019C"/>
    <w:rsid w:val="00775F25"/>
    <w:rsid w:val="007A05A9"/>
    <w:rsid w:val="007C0BC4"/>
    <w:rsid w:val="007F33D3"/>
    <w:rsid w:val="007F3548"/>
    <w:rsid w:val="007F672E"/>
    <w:rsid w:val="00820AFD"/>
    <w:rsid w:val="00843219"/>
    <w:rsid w:val="008529BB"/>
    <w:rsid w:val="00861E1F"/>
    <w:rsid w:val="0086436F"/>
    <w:rsid w:val="00872616"/>
    <w:rsid w:val="00897B64"/>
    <w:rsid w:val="008A062A"/>
    <w:rsid w:val="008B6BD6"/>
    <w:rsid w:val="008B7700"/>
    <w:rsid w:val="008C7E9F"/>
    <w:rsid w:val="009222E3"/>
    <w:rsid w:val="009325F9"/>
    <w:rsid w:val="0095258E"/>
    <w:rsid w:val="009717DA"/>
    <w:rsid w:val="0097756D"/>
    <w:rsid w:val="00981E89"/>
    <w:rsid w:val="00984117"/>
    <w:rsid w:val="00994107"/>
    <w:rsid w:val="009A0588"/>
    <w:rsid w:val="009A43DE"/>
    <w:rsid w:val="009E4F31"/>
    <w:rsid w:val="00A229D8"/>
    <w:rsid w:val="00A35720"/>
    <w:rsid w:val="00A50DC2"/>
    <w:rsid w:val="00A6346C"/>
    <w:rsid w:val="00A646B5"/>
    <w:rsid w:val="00A65747"/>
    <w:rsid w:val="00A742A1"/>
    <w:rsid w:val="00AC2D17"/>
    <w:rsid w:val="00AC4AFD"/>
    <w:rsid w:val="00AD1FEB"/>
    <w:rsid w:val="00B0115C"/>
    <w:rsid w:val="00B06B8D"/>
    <w:rsid w:val="00B11E2C"/>
    <w:rsid w:val="00B37D4D"/>
    <w:rsid w:val="00B42F7C"/>
    <w:rsid w:val="00B80E6F"/>
    <w:rsid w:val="00BA6341"/>
    <w:rsid w:val="00BC2EA0"/>
    <w:rsid w:val="00BD7A7E"/>
    <w:rsid w:val="00BE0B82"/>
    <w:rsid w:val="00BF4F52"/>
    <w:rsid w:val="00C04D46"/>
    <w:rsid w:val="00C43445"/>
    <w:rsid w:val="00C64B9B"/>
    <w:rsid w:val="00C67FBD"/>
    <w:rsid w:val="00C86319"/>
    <w:rsid w:val="00C87344"/>
    <w:rsid w:val="00CA2C85"/>
    <w:rsid w:val="00CF11CF"/>
    <w:rsid w:val="00CF1C31"/>
    <w:rsid w:val="00D0694F"/>
    <w:rsid w:val="00D2283B"/>
    <w:rsid w:val="00D240A4"/>
    <w:rsid w:val="00D3332A"/>
    <w:rsid w:val="00D81707"/>
    <w:rsid w:val="00D93C25"/>
    <w:rsid w:val="00D95BDA"/>
    <w:rsid w:val="00DA233F"/>
    <w:rsid w:val="00DB5BE4"/>
    <w:rsid w:val="00DD6318"/>
    <w:rsid w:val="00DF584F"/>
    <w:rsid w:val="00DF5B78"/>
    <w:rsid w:val="00E143DA"/>
    <w:rsid w:val="00E6686B"/>
    <w:rsid w:val="00E80CD0"/>
    <w:rsid w:val="00E97500"/>
    <w:rsid w:val="00EA39DE"/>
    <w:rsid w:val="00EA7D7B"/>
    <w:rsid w:val="00EC7619"/>
    <w:rsid w:val="00EE351C"/>
    <w:rsid w:val="00EF7DEA"/>
    <w:rsid w:val="00F00FF1"/>
    <w:rsid w:val="00F03B03"/>
    <w:rsid w:val="00F1447B"/>
    <w:rsid w:val="00F15EDD"/>
    <w:rsid w:val="00F403A5"/>
    <w:rsid w:val="00F766AA"/>
    <w:rsid w:val="00F8365C"/>
    <w:rsid w:val="00FA438B"/>
    <w:rsid w:val="00FB5BE0"/>
    <w:rsid w:val="00FB6A2D"/>
    <w:rsid w:val="00FD0C06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1283"/>
  <w15:chartTrackingRefBased/>
  <w15:docId w15:val="{3C463919-9301-4F11-AD05-E81BA91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8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B2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2986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B2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298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98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B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FB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219"/>
    <w:pPr>
      <w:spacing w:after="0" w:line="240" w:lineRule="auto"/>
      <w:ind w:left="720"/>
      <w:contextualSpacing/>
      <w:jc w:val="both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DD5-9B6F-4E7F-9CC2-71D9F48D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Hutchinson</dc:creator>
  <cp:keywords/>
  <dc:description/>
  <cp:lastModifiedBy>Kate Hutchinson</cp:lastModifiedBy>
  <cp:revision>2</cp:revision>
  <dcterms:created xsi:type="dcterms:W3CDTF">2022-04-20T13:10:00Z</dcterms:created>
  <dcterms:modified xsi:type="dcterms:W3CDTF">2022-04-20T13:10:00Z</dcterms:modified>
</cp:coreProperties>
</file>