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59D" w14:textId="623BAACF"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summary</w:t>
      </w:r>
      <w:r w:rsidRPr="00580C6A">
        <w:rPr>
          <w:rFonts w:ascii="Arial" w:hAnsi="Arial" w:cs="Arial"/>
          <w:b w:val="0"/>
          <w:bCs w:val="0"/>
          <w:color w:val="auto"/>
          <w:sz w:val="24"/>
          <w:szCs w:val="24"/>
        </w:rPr>
        <w:t>,</w:t>
      </w:r>
      <w:r w:rsidR="008864C4" w:rsidRPr="00580C6A">
        <w:rPr>
          <w:rFonts w:ascii="Arial" w:hAnsi="Arial" w:cs="Arial"/>
          <w:b w:val="0"/>
          <w:bCs w:val="0"/>
          <w:color w:val="auto"/>
          <w:sz w:val="24"/>
          <w:szCs w:val="24"/>
        </w:rPr>
        <w:t xml:space="preserve"> </w:t>
      </w:r>
      <w:r w:rsidR="00E81287">
        <w:rPr>
          <w:rFonts w:ascii="Arial" w:hAnsi="Arial" w:cs="Arial"/>
          <w:b w:val="0"/>
          <w:bCs w:val="0"/>
          <w:color w:val="auto"/>
          <w:sz w:val="24"/>
          <w:szCs w:val="24"/>
        </w:rPr>
        <w:t>15</w:t>
      </w:r>
      <w:r w:rsidR="00A43FDD">
        <w:rPr>
          <w:rFonts w:ascii="Arial" w:hAnsi="Arial" w:cs="Arial"/>
          <w:b w:val="0"/>
          <w:bCs w:val="0"/>
          <w:color w:val="auto"/>
          <w:sz w:val="24"/>
          <w:szCs w:val="24"/>
        </w:rPr>
        <w:t xml:space="preserve"> </w:t>
      </w:r>
      <w:r w:rsidR="00E81287">
        <w:rPr>
          <w:rFonts w:ascii="Arial" w:hAnsi="Arial" w:cs="Arial"/>
          <w:b w:val="0"/>
          <w:bCs w:val="0"/>
          <w:color w:val="auto"/>
          <w:sz w:val="24"/>
          <w:szCs w:val="24"/>
        </w:rPr>
        <w:t>September</w:t>
      </w:r>
      <w:r w:rsidR="00A43FDD">
        <w:rPr>
          <w:rFonts w:ascii="Arial" w:hAnsi="Arial" w:cs="Arial"/>
          <w:b w:val="0"/>
          <w:bCs w:val="0"/>
          <w:color w:val="auto"/>
          <w:sz w:val="24"/>
          <w:szCs w:val="24"/>
        </w:rPr>
        <w:t xml:space="preserve"> </w:t>
      </w:r>
      <w:r w:rsidRPr="00580C6A">
        <w:rPr>
          <w:rFonts w:ascii="Arial" w:hAnsi="Arial" w:cs="Arial"/>
          <w:b w:val="0"/>
          <w:bCs w:val="0"/>
          <w:color w:val="auto"/>
          <w:sz w:val="24"/>
          <w:szCs w:val="24"/>
        </w:rPr>
        <w:t>202</w:t>
      </w:r>
      <w:r w:rsidR="00065E36" w:rsidRPr="00580C6A">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051D8D41" w14:textId="461E62DF" w:rsidR="00954A35" w:rsidRPr="00954A35" w:rsidRDefault="006B2986" w:rsidP="005E55D0">
      <w:pPr>
        <w:pStyle w:val="BodyText"/>
      </w:pPr>
      <w:r>
        <w:t xml:space="preserve">This summary </w:t>
      </w:r>
      <w:r w:rsidRPr="00580C6A">
        <w:t xml:space="preserve">provides the main messages for </w:t>
      </w:r>
      <w:r w:rsidR="00AC4AFD" w:rsidRPr="00580C6A">
        <w:t xml:space="preserve">some of the </w:t>
      </w:r>
      <w:r w:rsidRPr="00580C6A">
        <w:t xml:space="preserve">metrics updated </w:t>
      </w:r>
      <w:r w:rsidR="009A0588" w:rsidRPr="00580C6A">
        <w:t>in this release</w:t>
      </w:r>
      <w:r w:rsidR="00954A35">
        <w:t xml:space="preserve">. It will cover the updated indicators on alcohol-specific </w:t>
      </w:r>
      <w:r w:rsidR="00D76A3E">
        <w:t xml:space="preserve">hospital </w:t>
      </w:r>
      <w:r w:rsidR="00954A35">
        <w:t xml:space="preserve">admissions, NHS Health Checks, benefits, </w:t>
      </w:r>
      <w:proofErr w:type="gramStart"/>
      <w:r w:rsidR="00954A35">
        <w:t>employment</w:t>
      </w:r>
      <w:proofErr w:type="gramEnd"/>
      <w:r w:rsidR="00954A35">
        <w:t xml:space="preserve"> and income. </w:t>
      </w:r>
    </w:p>
    <w:p w14:paraId="509B0D2A" w14:textId="77777777" w:rsidR="004676C1" w:rsidRDefault="004676C1" w:rsidP="00883FA2">
      <w:pPr>
        <w:rPr>
          <w:rFonts w:eastAsiaTheme="majorEastAsia"/>
          <w:b/>
          <w:bCs/>
        </w:rPr>
      </w:pPr>
    </w:p>
    <w:p w14:paraId="449BC307" w14:textId="41E9CCD1" w:rsidR="00883FA2" w:rsidRDefault="00883FA2" w:rsidP="00883FA2">
      <w:pPr>
        <w:rPr>
          <w:rFonts w:eastAsiaTheme="majorEastAsia"/>
          <w:b/>
          <w:bCs/>
        </w:rPr>
      </w:pPr>
      <w:r>
        <w:rPr>
          <w:rFonts w:eastAsiaTheme="majorEastAsia"/>
          <w:b/>
          <w:bCs/>
        </w:rPr>
        <w:t>Main messages</w:t>
      </w:r>
    </w:p>
    <w:p w14:paraId="41634538" w14:textId="57395B24" w:rsidR="00CF1581" w:rsidRDefault="00CF1581" w:rsidP="00883FA2">
      <w:pPr>
        <w:rPr>
          <w:rFonts w:eastAsiaTheme="majorEastAsia"/>
          <w:b/>
          <w:bCs/>
        </w:rPr>
      </w:pPr>
      <w:bookmarkStart w:id="0" w:name="_Hlk113882508"/>
      <w:r>
        <w:rPr>
          <w:rFonts w:eastAsiaTheme="majorEastAsia"/>
          <w:b/>
          <w:bCs/>
        </w:rPr>
        <w:t xml:space="preserve">Alcohol-specific hospital admissions </w:t>
      </w:r>
    </w:p>
    <w:p w14:paraId="4E6A6119" w14:textId="45CB5E18" w:rsidR="00CF1581" w:rsidRDefault="00CF1581" w:rsidP="00883FA2">
      <w:r>
        <w:rPr>
          <w:rFonts w:eastAsiaTheme="majorEastAsia"/>
        </w:rPr>
        <w:t xml:space="preserve">In this release, </w:t>
      </w:r>
      <w:r>
        <w:t xml:space="preserve">metrics on alcohol-specific emergency admissions have been revised to enable better </w:t>
      </w:r>
      <w:r w:rsidRPr="000C76CB">
        <w:t xml:space="preserve">interpretation of the impact of the pandemic. </w:t>
      </w:r>
      <w:r>
        <w:t xml:space="preserve">Data from Hospital Episode Statistics (HES) has been grouped into broader quarterly time </w:t>
      </w:r>
      <w:r w:rsidRPr="00CF1581">
        <w:t xml:space="preserve">periods to assess trends. </w:t>
      </w:r>
    </w:p>
    <w:p w14:paraId="40E14872" w14:textId="71497699" w:rsidR="00882E9C" w:rsidRDefault="00882E9C" w:rsidP="00883FA2">
      <w:bookmarkStart w:id="1" w:name="_Hlk113877959"/>
      <w:r>
        <w:t>Figure 1 shows that in the third quarter of 2020, the directly age-standardised rate (DSR) of emergency hospital admissions for alcoholic liver disease per 100,000 increased to 14.5% above the baseline level (the equivalent quarter in 2018 and 2019 combined). The DSR remained above pre-pandemic levels throughout the rest of 2020 and all of 2021.</w:t>
      </w:r>
    </w:p>
    <w:p w14:paraId="0461334D" w14:textId="2DA4F8DD" w:rsidR="00BD2689" w:rsidRPr="00BD2689" w:rsidRDefault="00BD2689" w:rsidP="00883FA2">
      <w:pPr>
        <w:rPr>
          <w:b/>
          <w:bCs/>
        </w:rPr>
      </w:pPr>
      <w:r w:rsidRPr="00BD2689">
        <w:rPr>
          <w:b/>
          <w:bCs/>
        </w:rPr>
        <w:t xml:space="preserve">Figure </w:t>
      </w:r>
      <w:r w:rsidR="000C76CB">
        <w:rPr>
          <w:b/>
          <w:bCs/>
        </w:rPr>
        <w:t>1</w:t>
      </w:r>
      <w:r w:rsidRPr="00BD2689">
        <w:rPr>
          <w:b/>
          <w:bCs/>
        </w:rPr>
        <w:t xml:space="preserve">: </w:t>
      </w:r>
      <w:r w:rsidR="00CA27AF">
        <w:rPr>
          <w:b/>
          <w:bCs/>
        </w:rPr>
        <w:t>Quarterly</w:t>
      </w:r>
      <w:r w:rsidRPr="00BD2689">
        <w:rPr>
          <w:b/>
          <w:bCs/>
        </w:rPr>
        <w:t xml:space="preserve"> trend in emergency hospital admissions for alcoholic liver disease in England</w:t>
      </w:r>
    </w:p>
    <w:p w14:paraId="30811614" w14:textId="2DFAD34B" w:rsidR="00BD2689" w:rsidRDefault="00BA2CDC" w:rsidP="00883FA2">
      <w:r>
        <w:rPr>
          <w:noProof/>
        </w:rPr>
        <w:drawing>
          <wp:inline distT="0" distB="0" distL="0" distR="0" wp14:anchorId="6CBA5C8E" wp14:editId="41E547E8">
            <wp:extent cx="5731510" cy="2569845"/>
            <wp:effectExtent l="0" t="0" r="2540" b="190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2569845"/>
                    </a:xfrm>
                    <a:prstGeom prst="rect">
                      <a:avLst/>
                    </a:prstGeom>
                  </pic:spPr>
                </pic:pic>
              </a:graphicData>
            </a:graphic>
          </wp:inline>
        </w:drawing>
      </w:r>
    </w:p>
    <w:p w14:paraId="3CBFBAAB" w14:textId="00648B9A" w:rsidR="00CF1581" w:rsidRDefault="00A659B8" w:rsidP="00883FA2">
      <w:pPr>
        <w:rPr>
          <w:i/>
          <w:iCs/>
        </w:rPr>
      </w:pPr>
      <w:r w:rsidRPr="00A659B8">
        <w:rPr>
          <w:i/>
          <w:iCs/>
        </w:rPr>
        <w:t>Source: Hospital Episode Statistics (HES), Copyright © 2021, Re</w:t>
      </w:r>
      <w:r w:rsidRPr="00A659B8">
        <w:rPr>
          <w:rFonts w:ascii="Cambria Math" w:hAnsi="Cambria Math" w:cs="Cambria Math"/>
          <w:i/>
          <w:iCs/>
        </w:rPr>
        <w:t>‐</w:t>
      </w:r>
      <w:r w:rsidRPr="00A659B8">
        <w:rPr>
          <w:i/>
          <w:iCs/>
        </w:rPr>
        <w:t>used with the permission of NHS Digital. All rights reserved</w:t>
      </w:r>
    </w:p>
    <w:p w14:paraId="2C4C4E37" w14:textId="77777777" w:rsidR="00A659B8" w:rsidRPr="00A659B8" w:rsidRDefault="00A659B8" w:rsidP="00883FA2">
      <w:pPr>
        <w:rPr>
          <w:i/>
          <w:iCs/>
        </w:rPr>
      </w:pPr>
    </w:p>
    <w:p w14:paraId="798121D4" w14:textId="026AF450" w:rsidR="00882E9C" w:rsidRDefault="00882E9C" w:rsidP="00882E9C">
      <w:r>
        <w:t>In contrast to alcoholic liver disease, the DSR in emergency hospital admissions for alcohol poisoning per 100,000 decreased to 13.8% below</w:t>
      </w:r>
      <w:r w:rsidR="0000204B">
        <w:t xml:space="preserve"> the</w:t>
      </w:r>
      <w:r>
        <w:t xml:space="preserve"> baseline level in </w:t>
      </w:r>
      <w:r>
        <w:lastRenderedPageBreak/>
        <w:t xml:space="preserve">quarter 4 of 2020 (Figure 2). </w:t>
      </w:r>
      <w:bookmarkStart w:id="2" w:name="_Hlk113883026"/>
      <w:r>
        <w:t xml:space="preserve">The DSR </w:t>
      </w:r>
      <w:r w:rsidR="008842E5">
        <w:t>has remained significantly lower than the baseline level throughout 2021.</w:t>
      </w:r>
      <w:r>
        <w:t xml:space="preserve">  </w:t>
      </w:r>
      <w:bookmarkEnd w:id="2"/>
    </w:p>
    <w:p w14:paraId="518FEA8F" w14:textId="77777777" w:rsidR="000A5F7B" w:rsidRDefault="000A5F7B" w:rsidP="00883FA2"/>
    <w:p w14:paraId="670FEFC8" w14:textId="7BEDAEAC" w:rsidR="000A5F7B" w:rsidRPr="000A5F7B" w:rsidRDefault="000A5F7B" w:rsidP="00883FA2">
      <w:pPr>
        <w:rPr>
          <w:b/>
          <w:bCs/>
        </w:rPr>
      </w:pPr>
      <w:r w:rsidRPr="000A5F7B">
        <w:rPr>
          <w:b/>
          <w:bCs/>
        </w:rPr>
        <w:t>Figure 2: Quarterly trend in emergency hospital admissions for alcohol poisoning in England</w:t>
      </w:r>
    </w:p>
    <w:p w14:paraId="3380E817" w14:textId="3EF5C617" w:rsidR="00CF1581" w:rsidRDefault="00BA2CDC" w:rsidP="00883FA2">
      <w:r>
        <w:rPr>
          <w:noProof/>
        </w:rPr>
        <w:drawing>
          <wp:inline distT="0" distB="0" distL="0" distR="0" wp14:anchorId="4627DF4D" wp14:editId="10E87724">
            <wp:extent cx="5731510" cy="2538095"/>
            <wp:effectExtent l="0" t="0" r="254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2538095"/>
                    </a:xfrm>
                    <a:prstGeom prst="rect">
                      <a:avLst/>
                    </a:prstGeom>
                  </pic:spPr>
                </pic:pic>
              </a:graphicData>
            </a:graphic>
          </wp:inline>
        </w:drawing>
      </w:r>
    </w:p>
    <w:p w14:paraId="3BED5F22" w14:textId="1402347D" w:rsidR="00CF1581" w:rsidRDefault="00A659B8" w:rsidP="00883FA2">
      <w:pPr>
        <w:rPr>
          <w:rFonts w:eastAsiaTheme="majorEastAsia"/>
          <w:i/>
          <w:iCs/>
        </w:rPr>
      </w:pPr>
      <w:r w:rsidRPr="00A659B8">
        <w:rPr>
          <w:rFonts w:eastAsiaTheme="majorEastAsia"/>
          <w:i/>
          <w:iCs/>
        </w:rPr>
        <w:t>Source: Hospital Episode Statistics (HES), Copyright © 2021, Re</w:t>
      </w:r>
      <w:r w:rsidRPr="00A659B8">
        <w:rPr>
          <w:rFonts w:ascii="Cambria Math" w:eastAsiaTheme="majorEastAsia" w:hAnsi="Cambria Math" w:cs="Cambria Math"/>
          <w:i/>
          <w:iCs/>
        </w:rPr>
        <w:t>‐</w:t>
      </w:r>
      <w:r w:rsidRPr="00A659B8">
        <w:rPr>
          <w:rFonts w:eastAsiaTheme="majorEastAsia"/>
          <w:i/>
          <w:iCs/>
        </w:rPr>
        <w:t>used with the permission of NHS Digital. All rights reserved</w:t>
      </w:r>
    </w:p>
    <w:p w14:paraId="33A44BB2" w14:textId="77777777" w:rsidR="00A659B8" w:rsidRPr="00A659B8" w:rsidRDefault="00A659B8" w:rsidP="00883FA2">
      <w:pPr>
        <w:rPr>
          <w:rFonts w:eastAsiaTheme="majorEastAsia"/>
          <w:i/>
          <w:iCs/>
        </w:rPr>
      </w:pPr>
    </w:p>
    <w:bookmarkEnd w:id="0"/>
    <w:bookmarkEnd w:id="1"/>
    <w:p w14:paraId="3E789BBB" w14:textId="6ED5B904" w:rsidR="00883FA2" w:rsidRDefault="00E81287" w:rsidP="00406E73">
      <w:pPr>
        <w:rPr>
          <w:b/>
          <w:bCs/>
        </w:rPr>
      </w:pPr>
      <w:r>
        <w:rPr>
          <w:b/>
          <w:bCs/>
        </w:rPr>
        <w:t>NHS Health Checks</w:t>
      </w:r>
    </w:p>
    <w:p w14:paraId="1827D0AE" w14:textId="3EDB77F8" w:rsidR="00E81287" w:rsidRDefault="00E81287" w:rsidP="00406E73">
      <w:r w:rsidRPr="00E81287">
        <w:t xml:space="preserve">The NHS Health Check programme aims to prevent heart disease, stroke, diabetes and kidney disease, and some cases of dementia among adults aged 40 to 74 years who do not have an existing diagnosis of cardiovascular disease. Local areas are required to offer a check to all eligible people over a </w:t>
      </w:r>
      <w:proofErr w:type="gramStart"/>
      <w:r w:rsidR="00BD2689">
        <w:t>five</w:t>
      </w:r>
      <w:r w:rsidRPr="00E81287">
        <w:t xml:space="preserve"> year</w:t>
      </w:r>
      <w:proofErr w:type="gramEnd"/>
      <w:r w:rsidRPr="00E81287">
        <w:t xml:space="preserve"> period. To meet this requirement, it is expected that about 5% of eligible people are invited for a check each quarter.</w:t>
      </w:r>
    </w:p>
    <w:p w14:paraId="04962A42" w14:textId="0FDFCC31" w:rsidR="00A659B8" w:rsidRDefault="00A659B8" w:rsidP="00406E73"/>
    <w:p w14:paraId="17A93FB5" w14:textId="52FDB64E" w:rsidR="00A659B8" w:rsidRDefault="00A659B8" w:rsidP="00406E73"/>
    <w:p w14:paraId="6A47A6F9" w14:textId="59DD9A16" w:rsidR="00A659B8" w:rsidRDefault="00A659B8" w:rsidP="00406E73"/>
    <w:p w14:paraId="256D32F5" w14:textId="6948A93C" w:rsidR="00A659B8" w:rsidRDefault="00A659B8" w:rsidP="00406E73"/>
    <w:p w14:paraId="23914089" w14:textId="1665842A" w:rsidR="00A659B8" w:rsidRDefault="00A659B8" w:rsidP="00406E73"/>
    <w:p w14:paraId="4F8C022B" w14:textId="493C0D54" w:rsidR="00A659B8" w:rsidRDefault="00A659B8" w:rsidP="00406E73"/>
    <w:p w14:paraId="1FD823F6" w14:textId="41E8630B" w:rsidR="00A659B8" w:rsidRDefault="00A659B8" w:rsidP="00406E73"/>
    <w:p w14:paraId="0B2C6C33" w14:textId="77777777" w:rsidR="00A659B8" w:rsidRDefault="00A659B8" w:rsidP="00406E73"/>
    <w:p w14:paraId="6CBBC104" w14:textId="45EAF49C" w:rsidR="00E81287" w:rsidRPr="00E81287" w:rsidRDefault="00E81287" w:rsidP="00406E73">
      <w:pPr>
        <w:rPr>
          <w:b/>
          <w:bCs/>
        </w:rPr>
      </w:pPr>
      <w:r>
        <w:rPr>
          <w:b/>
          <w:bCs/>
        </w:rPr>
        <w:lastRenderedPageBreak/>
        <w:t xml:space="preserve">Figure </w:t>
      </w:r>
      <w:r w:rsidR="00825F7D">
        <w:rPr>
          <w:b/>
          <w:bCs/>
        </w:rPr>
        <w:t>3</w:t>
      </w:r>
      <w:r>
        <w:rPr>
          <w:b/>
          <w:bCs/>
        </w:rPr>
        <w:t xml:space="preserve">: </w:t>
      </w:r>
      <w:r w:rsidRPr="00E81287">
        <w:rPr>
          <w:b/>
          <w:bCs/>
        </w:rPr>
        <w:t>Percentage of NHS Health Checks received by the total eligible population in the quarter</w:t>
      </w:r>
    </w:p>
    <w:p w14:paraId="77A2F21D" w14:textId="0C59C9AA" w:rsidR="00E81287" w:rsidRDefault="00E81287" w:rsidP="00406E73">
      <w:r>
        <w:rPr>
          <w:noProof/>
        </w:rPr>
        <w:drawing>
          <wp:inline distT="0" distB="0" distL="0" distR="0" wp14:anchorId="6B9A4197" wp14:editId="761D6722">
            <wp:extent cx="5731510" cy="4075430"/>
            <wp:effectExtent l="0" t="0" r="2540" b="127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075430"/>
                    </a:xfrm>
                    <a:prstGeom prst="rect">
                      <a:avLst/>
                    </a:prstGeom>
                  </pic:spPr>
                </pic:pic>
              </a:graphicData>
            </a:graphic>
          </wp:inline>
        </w:drawing>
      </w:r>
    </w:p>
    <w:p w14:paraId="506BF546" w14:textId="0DCAD72F" w:rsidR="00E81287" w:rsidRDefault="00A659B8" w:rsidP="00406E73">
      <w:pPr>
        <w:rPr>
          <w:i/>
          <w:iCs/>
        </w:rPr>
      </w:pPr>
      <w:r w:rsidRPr="00A659B8">
        <w:rPr>
          <w:i/>
          <w:iCs/>
        </w:rPr>
        <w:t>Source: Local authorities collect information on the number of NHS Health Checks offered and the number of NHS Health Checks received each quarter and return this data to OHID</w:t>
      </w:r>
    </w:p>
    <w:p w14:paraId="39ADCE63" w14:textId="77777777" w:rsidR="00A659B8" w:rsidRPr="00A659B8" w:rsidRDefault="00A659B8" w:rsidP="00406E73">
      <w:pPr>
        <w:rPr>
          <w:i/>
          <w:iCs/>
        </w:rPr>
      </w:pPr>
    </w:p>
    <w:p w14:paraId="79D4F1D5" w14:textId="22683A0E" w:rsidR="00E81287" w:rsidRDefault="00E81287" w:rsidP="00E81287">
      <w:r>
        <w:t xml:space="preserve">Figure </w:t>
      </w:r>
      <w:r w:rsidR="00825F7D">
        <w:t>3</w:t>
      </w:r>
      <w:r>
        <w:t xml:space="preserve"> shows the proportion of eligible people who have had an NHS Health Check each quarter since 2018 to 2019. It illustrates that the number of people having a check dropped in 2020 to 2021 and that the number of checks carried out in Quarter 1 of 2022 to </w:t>
      </w:r>
      <w:r w:rsidR="00AB3B7D">
        <w:t>20</w:t>
      </w:r>
      <w:r>
        <w:t xml:space="preserve">23 </w:t>
      </w:r>
      <w:r w:rsidR="004F0DA5">
        <w:t xml:space="preserve">was </w:t>
      </w:r>
      <w:r>
        <w:t xml:space="preserve">the highest since the start of the pandemic. </w:t>
      </w:r>
    </w:p>
    <w:p w14:paraId="4CB2E352" w14:textId="1CB24788" w:rsidR="00E81287" w:rsidRDefault="00E81287" w:rsidP="00E81287">
      <w:r>
        <w:t>Delivery of the programme, which is commissioned by local government and provided mainly in NHS primary care settings, was largely suspended between April 2020 and February 2022 because of the pandemic and in line with national guidance from NHS England. Local areas are making good progress with recovering the service although activity is still around a third lower than that reported prior to COVID-19.</w:t>
      </w:r>
    </w:p>
    <w:p w14:paraId="134E2270" w14:textId="378BEE5E" w:rsidR="006E109B" w:rsidRDefault="006E109B" w:rsidP="00E81287"/>
    <w:p w14:paraId="0E445129" w14:textId="3513DD6B" w:rsidR="006E109B" w:rsidRPr="00E60233" w:rsidRDefault="00E60233" w:rsidP="00E81287">
      <w:pPr>
        <w:rPr>
          <w:b/>
          <w:bCs/>
        </w:rPr>
      </w:pPr>
      <w:r w:rsidRPr="00E60233">
        <w:rPr>
          <w:b/>
          <w:bCs/>
        </w:rPr>
        <w:t>Employment and Income</w:t>
      </w:r>
    </w:p>
    <w:p w14:paraId="7C931A14" w14:textId="7C7CC1A6" w:rsidR="003A12AB" w:rsidRDefault="003A12AB" w:rsidP="003A12AB">
      <w:r>
        <w:t xml:space="preserve">After remaining at a </w:t>
      </w:r>
      <w:proofErr w:type="gramStart"/>
      <w:r>
        <w:t>fairly constant</w:t>
      </w:r>
      <w:proofErr w:type="gramEnd"/>
      <w:r>
        <w:t xml:space="preserve"> level throughout 2018 and 2019, the number of job vacancies in the UK more than halved from 820,000 vacancies in the November 2019 to January 2020 quarter, to 367,000 in May to July 2020 when the first </w:t>
      </w:r>
      <w:r>
        <w:lastRenderedPageBreak/>
        <w:t>lockdown was in place. The number of job vacancies increased in each quarter since this low point, surpassing the pre-pandemic level and reaching 1,29</w:t>
      </w:r>
      <w:r w:rsidR="00A1304B">
        <w:t>4</w:t>
      </w:r>
      <w:r>
        <w:t>,000 vacancies in February to April 2022</w:t>
      </w:r>
      <w:r w:rsidR="00A1304B">
        <w:t xml:space="preserve">. </w:t>
      </w:r>
      <w:r w:rsidR="00A1304B" w:rsidRPr="00A1304B">
        <w:t xml:space="preserve">In the most recent </w:t>
      </w:r>
      <w:proofErr w:type="gramStart"/>
      <w:r w:rsidR="00AB3B7D" w:rsidRPr="00A1304B">
        <w:t>quarter</w:t>
      </w:r>
      <w:proofErr w:type="gramEnd"/>
      <w:r w:rsidR="00A1304B" w:rsidRPr="00A1304B">
        <w:t xml:space="preserve"> the number of job vacancies decreased for the first time in the two years since the low point in May to July 2020</w:t>
      </w:r>
      <w:r w:rsidR="00A1304B">
        <w:t xml:space="preserve">, but remains at a higher level than pre-pandemic </w:t>
      </w:r>
      <w:r w:rsidR="00A1304B" w:rsidRPr="00A1304B">
        <w:t xml:space="preserve">(Figure </w:t>
      </w:r>
      <w:r w:rsidR="00825F7D">
        <w:t>4</w:t>
      </w:r>
      <w:r w:rsidR="00A1304B" w:rsidRPr="00A1304B">
        <w:t>).</w:t>
      </w:r>
    </w:p>
    <w:p w14:paraId="65E7797A" w14:textId="05D13099" w:rsidR="00A1304B" w:rsidRPr="00A1304B" w:rsidRDefault="00A1304B" w:rsidP="003A12AB">
      <w:pPr>
        <w:rPr>
          <w:b/>
          <w:bCs/>
        </w:rPr>
      </w:pPr>
      <w:r>
        <w:rPr>
          <w:b/>
          <w:bCs/>
        </w:rPr>
        <w:t xml:space="preserve">Figure </w:t>
      </w:r>
      <w:r w:rsidR="00825F7D">
        <w:rPr>
          <w:b/>
          <w:bCs/>
        </w:rPr>
        <w:t>4</w:t>
      </w:r>
      <w:r>
        <w:rPr>
          <w:b/>
          <w:bCs/>
        </w:rPr>
        <w:t>: Number of job vacancies in the UK (thousands), seasonally adjusted</w:t>
      </w:r>
    </w:p>
    <w:p w14:paraId="117CD20E" w14:textId="2F4AF9BD" w:rsidR="003A12AB" w:rsidRDefault="00A1304B" w:rsidP="00E81287">
      <w:r>
        <w:rPr>
          <w:noProof/>
        </w:rPr>
        <w:drawing>
          <wp:inline distT="0" distB="0" distL="0" distR="0" wp14:anchorId="0FAC990B" wp14:editId="59A3CC71">
            <wp:extent cx="5731510" cy="4075430"/>
            <wp:effectExtent l="0" t="0" r="2540" b="127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075430"/>
                    </a:xfrm>
                    <a:prstGeom prst="rect">
                      <a:avLst/>
                    </a:prstGeom>
                  </pic:spPr>
                </pic:pic>
              </a:graphicData>
            </a:graphic>
          </wp:inline>
        </w:drawing>
      </w:r>
    </w:p>
    <w:p w14:paraId="6A5B8985" w14:textId="0BA0FDC9" w:rsidR="00A1304B" w:rsidRDefault="00A659B8" w:rsidP="00E81287">
      <w:pPr>
        <w:rPr>
          <w:i/>
          <w:iCs/>
        </w:rPr>
      </w:pPr>
      <w:r w:rsidRPr="00A659B8">
        <w:rPr>
          <w:i/>
          <w:iCs/>
        </w:rPr>
        <w:t>Source: Vacancy Survey, Office for National Statistics</w:t>
      </w:r>
    </w:p>
    <w:p w14:paraId="3A34B653" w14:textId="77777777" w:rsidR="00A659B8" w:rsidRPr="00A659B8" w:rsidRDefault="00A659B8" w:rsidP="00E81287">
      <w:pPr>
        <w:rPr>
          <w:i/>
          <w:iCs/>
        </w:rPr>
      </w:pPr>
    </w:p>
    <w:p w14:paraId="7A877B2B" w14:textId="134371BC" w:rsidR="00454E9F" w:rsidRDefault="00454E9F" w:rsidP="00E81287">
      <w:r>
        <w:t xml:space="preserve">The proportion of people claiming unemployment benefits more than doubled </w:t>
      </w:r>
      <w:r w:rsidR="00966FBB">
        <w:t xml:space="preserve">from 2.9% to 6.4% </w:t>
      </w:r>
      <w:r>
        <w:t xml:space="preserve">between March and </w:t>
      </w:r>
      <w:r w:rsidR="00966FBB">
        <w:t>May 2020 and</w:t>
      </w:r>
      <w:r>
        <w:t xml:space="preserve"> remained at a high level until the end of the national lockdown restrictions in 2021</w:t>
      </w:r>
      <w:r w:rsidR="00825F7D">
        <w:t xml:space="preserve"> (Figure 5)</w:t>
      </w:r>
      <w:r>
        <w:t xml:space="preserve">. </w:t>
      </w:r>
      <w:r w:rsidR="00966FBB">
        <w:t>Since April 2021</w:t>
      </w:r>
      <w:r>
        <w:t xml:space="preserve"> </w:t>
      </w:r>
      <w:r w:rsidR="00966FBB">
        <w:t>the proportion of people claiming unemployment benefits has decreased each month, plateauing at 3.8% from March 2022 to the latest time point</w:t>
      </w:r>
      <w:r w:rsidR="00AB3B7D">
        <w:t xml:space="preserve"> in</w:t>
      </w:r>
      <w:r w:rsidR="00966FBB">
        <w:t xml:space="preserve"> May 2022. </w:t>
      </w:r>
    </w:p>
    <w:p w14:paraId="1D6EFC23" w14:textId="45CB7F17" w:rsidR="00A659B8" w:rsidRDefault="00A659B8" w:rsidP="00E81287"/>
    <w:p w14:paraId="2AD76DEC" w14:textId="25A0C509" w:rsidR="00A659B8" w:rsidRDefault="00A659B8" w:rsidP="00E81287"/>
    <w:p w14:paraId="23B3BCFE" w14:textId="41662421" w:rsidR="00A659B8" w:rsidRDefault="00A659B8" w:rsidP="00E81287"/>
    <w:p w14:paraId="0684E740" w14:textId="33A82CE3" w:rsidR="00A659B8" w:rsidRDefault="00A659B8" w:rsidP="00E81287"/>
    <w:p w14:paraId="55CEC180" w14:textId="77777777" w:rsidR="00A659B8" w:rsidRDefault="00A659B8" w:rsidP="00E81287"/>
    <w:p w14:paraId="3C193D8D" w14:textId="11B7E815" w:rsidR="00966FBB" w:rsidRPr="00966FBB" w:rsidRDefault="00966FBB" w:rsidP="00E81287">
      <w:pPr>
        <w:rPr>
          <w:b/>
          <w:bCs/>
        </w:rPr>
      </w:pPr>
      <w:r>
        <w:rPr>
          <w:b/>
          <w:bCs/>
        </w:rPr>
        <w:lastRenderedPageBreak/>
        <w:t xml:space="preserve">Figure </w:t>
      </w:r>
      <w:r w:rsidR="00825F7D">
        <w:rPr>
          <w:b/>
          <w:bCs/>
        </w:rPr>
        <w:t>5</w:t>
      </w:r>
      <w:r>
        <w:rPr>
          <w:b/>
          <w:bCs/>
        </w:rPr>
        <w:t>: T</w:t>
      </w:r>
      <w:r w:rsidRPr="00966FBB">
        <w:rPr>
          <w:b/>
          <w:bCs/>
        </w:rPr>
        <w:t>rend in proportion of resident population aged 16-64 claiming unemployment benefits (seasonally adjusted) in England, by sex</w:t>
      </w:r>
    </w:p>
    <w:p w14:paraId="247D7D5D" w14:textId="77E23ED0" w:rsidR="00A1304B" w:rsidRDefault="00454E9F" w:rsidP="00E81287">
      <w:r>
        <w:rPr>
          <w:noProof/>
        </w:rPr>
        <w:drawing>
          <wp:inline distT="0" distB="0" distL="0" distR="0" wp14:anchorId="348E4241" wp14:editId="606F4D47">
            <wp:extent cx="5731510" cy="4075430"/>
            <wp:effectExtent l="0" t="0" r="2540" b="127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075430"/>
                    </a:xfrm>
                    <a:prstGeom prst="rect">
                      <a:avLst/>
                    </a:prstGeom>
                  </pic:spPr>
                </pic:pic>
              </a:graphicData>
            </a:graphic>
          </wp:inline>
        </w:drawing>
      </w:r>
    </w:p>
    <w:p w14:paraId="16D932FC" w14:textId="4E343098" w:rsidR="00A659B8" w:rsidRPr="00A659B8" w:rsidRDefault="00A659B8" w:rsidP="00E81287">
      <w:pPr>
        <w:rPr>
          <w:i/>
          <w:iCs/>
        </w:rPr>
      </w:pPr>
      <w:r w:rsidRPr="00A659B8">
        <w:rPr>
          <w:i/>
          <w:iCs/>
        </w:rPr>
        <w:t>Source: Office for National Statistics</w:t>
      </w:r>
    </w:p>
    <w:sectPr w:rsidR="00A659B8" w:rsidRPr="00A65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E4D"/>
    <w:multiLevelType w:val="hybridMultilevel"/>
    <w:tmpl w:val="6020142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52F0079C"/>
    <w:multiLevelType w:val="hybridMultilevel"/>
    <w:tmpl w:val="12D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61A18"/>
    <w:multiLevelType w:val="hybridMultilevel"/>
    <w:tmpl w:val="6508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204B"/>
    <w:rsid w:val="00004440"/>
    <w:rsid w:val="000071C6"/>
    <w:rsid w:val="0001409E"/>
    <w:rsid w:val="00014FF6"/>
    <w:rsid w:val="00035900"/>
    <w:rsid w:val="0004040F"/>
    <w:rsid w:val="000462B3"/>
    <w:rsid w:val="00047BDA"/>
    <w:rsid w:val="00056361"/>
    <w:rsid w:val="00065E36"/>
    <w:rsid w:val="00066AFD"/>
    <w:rsid w:val="00071112"/>
    <w:rsid w:val="00086B01"/>
    <w:rsid w:val="00087AF9"/>
    <w:rsid w:val="00094E38"/>
    <w:rsid w:val="000A5F7B"/>
    <w:rsid w:val="000B380D"/>
    <w:rsid w:val="000B52CC"/>
    <w:rsid w:val="000C76CB"/>
    <w:rsid w:val="000D2CC3"/>
    <w:rsid w:val="000E236E"/>
    <w:rsid w:val="000E6E08"/>
    <w:rsid w:val="000E7854"/>
    <w:rsid w:val="000F13F2"/>
    <w:rsid w:val="000F5D62"/>
    <w:rsid w:val="0010196E"/>
    <w:rsid w:val="001108B3"/>
    <w:rsid w:val="00124E7B"/>
    <w:rsid w:val="00126C4D"/>
    <w:rsid w:val="001358EB"/>
    <w:rsid w:val="001423A5"/>
    <w:rsid w:val="00142609"/>
    <w:rsid w:val="00150FC7"/>
    <w:rsid w:val="001550E4"/>
    <w:rsid w:val="00162E1E"/>
    <w:rsid w:val="00166107"/>
    <w:rsid w:val="00166B2F"/>
    <w:rsid w:val="00182CAE"/>
    <w:rsid w:val="00194D98"/>
    <w:rsid w:val="001A6EE6"/>
    <w:rsid w:val="001A6F8E"/>
    <w:rsid w:val="001B15D0"/>
    <w:rsid w:val="00201FEF"/>
    <w:rsid w:val="00202B86"/>
    <w:rsid w:val="00216DF0"/>
    <w:rsid w:val="00227D6E"/>
    <w:rsid w:val="00251892"/>
    <w:rsid w:val="00267E1B"/>
    <w:rsid w:val="002839B5"/>
    <w:rsid w:val="00284E5E"/>
    <w:rsid w:val="00290107"/>
    <w:rsid w:val="002A0D1C"/>
    <w:rsid w:val="002A650A"/>
    <w:rsid w:val="002B1157"/>
    <w:rsid w:val="002B2314"/>
    <w:rsid w:val="002C1FE5"/>
    <w:rsid w:val="002C5210"/>
    <w:rsid w:val="002C6612"/>
    <w:rsid w:val="002D1B3E"/>
    <w:rsid w:val="002F599B"/>
    <w:rsid w:val="002F6E5B"/>
    <w:rsid w:val="00300DE7"/>
    <w:rsid w:val="00331BE6"/>
    <w:rsid w:val="00344DAA"/>
    <w:rsid w:val="00347E81"/>
    <w:rsid w:val="003526F2"/>
    <w:rsid w:val="00356B99"/>
    <w:rsid w:val="00357D0E"/>
    <w:rsid w:val="003616C5"/>
    <w:rsid w:val="00373E4F"/>
    <w:rsid w:val="00377D76"/>
    <w:rsid w:val="00381AA8"/>
    <w:rsid w:val="00383F77"/>
    <w:rsid w:val="00384160"/>
    <w:rsid w:val="003A12AB"/>
    <w:rsid w:val="003A1733"/>
    <w:rsid w:val="003A6099"/>
    <w:rsid w:val="003C2F85"/>
    <w:rsid w:val="003D725E"/>
    <w:rsid w:val="003F496A"/>
    <w:rsid w:val="0040532B"/>
    <w:rsid w:val="00406E73"/>
    <w:rsid w:val="004131E8"/>
    <w:rsid w:val="00413490"/>
    <w:rsid w:val="004211F2"/>
    <w:rsid w:val="00423291"/>
    <w:rsid w:val="00443B39"/>
    <w:rsid w:val="00454E9F"/>
    <w:rsid w:val="004576C8"/>
    <w:rsid w:val="004676C1"/>
    <w:rsid w:val="0047186A"/>
    <w:rsid w:val="0048641C"/>
    <w:rsid w:val="004878F1"/>
    <w:rsid w:val="00490C88"/>
    <w:rsid w:val="004A1B20"/>
    <w:rsid w:val="004A1ED5"/>
    <w:rsid w:val="004A64AC"/>
    <w:rsid w:val="004C4E29"/>
    <w:rsid w:val="004E2B9D"/>
    <w:rsid w:val="004E4F20"/>
    <w:rsid w:val="004E5D62"/>
    <w:rsid w:val="004F0DA5"/>
    <w:rsid w:val="005048C9"/>
    <w:rsid w:val="00505A08"/>
    <w:rsid w:val="00520C1E"/>
    <w:rsid w:val="005370D0"/>
    <w:rsid w:val="00540080"/>
    <w:rsid w:val="0054102D"/>
    <w:rsid w:val="005575AA"/>
    <w:rsid w:val="005614B7"/>
    <w:rsid w:val="00561630"/>
    <w:rsid w:val="00565D51"/>
    <w:rsid w:val="005727D6"/>
    <w:rsid w:val="00580C6A"/>
    <w:rsid w:val="00582379"/>
    <w:rsid w:val="00585A57"/>
    <w:rsid w:val="0059366D"/>
    <w:rsid w:val="00594D19"/>
    <w:rsid w:val="005B668B"/>
    <w:rsid w:val="005D1DC8"/>
    <w:rsid w:val="005E30E9"/>
    <w:rsid w:val="005E462E"/>
    <w:rsid w:val="005E466F"/>
    <w:rsid w:val="005E55D0"/>
    <w:rsid w:val="00615758"/>
    <w:rsid w:val="00624EC1"/>
    <w:rsid w:val="00625C6C"/>
    <w:rsid w:val="00640CFE"/>
    <w:rsid w:val="006449DE"/>
    <w:rsid w:val="00644AB9"/>
    <w:rsid w:val="0064707B"/>
    <w:rsid w:val="00656B30"/>
    <w:rsid w:val="00657AF5"/>
    <w:rsid w:val="00660CCC"/>
    <w:rsid w:val="006646F2"/>
    <w:rsid w:val="006701CE"/>
    <w:rsid w:val="00676387"/>
    <w:rsid w:val="00677AEC"/>
    <w:rsid w:val="0069361B"/>
    <w:rsid w:val="0069533A"/>
    <w:rsid w:val="00695AF0"/>
    <w:rsid w:val="00697541"/>
    <w:rsid w:val="006B2986"/>
    <w:rsid w:val="006B3647"/>
    <w:rsid w:val="006B5780"/>
    <w:rsid w:val="006C1EBF"/>
    <w:rsid w:val="006C676A"/>
    <w:rsid w:val="006D4690"/>
    <w:rsid w:val="006D5B57"/>
    <w:rsid w:val="006E109B"/>
    <w:rsid w:val="006E3669"/>
    <w:rsid w:val="006E4020"/>
    <w:rsid w:val="006F1AE2"/>
    <w:rsid w:val="006F333D"/>
    <w:rsid w:val="006F3800"/>
    <w:rsid w:val="006F4622"/>
    <w:rsid w:val="0071006B"/>
    <w:rsid w:val="00714611"/>
    <w:rsid w:val="00720B57"/>
    <w:rsid w:val="00722516"/>
    <w:rsid w:val="0072738F"/>
    <w:rsid w:val="0073041E"/>
    <w:rsid w:val="00731A8D"/>
    <w:rsid w:val="007335B7"/>
    <w:rsid w:val="00736299"/>
    <w:rsid w:val="0076534A"/>
    <w:rsid w:val="00775F25"/>
    <w:rsid w:val="007A05A9"/>
    <w:rsid w:val="007C0BC4"/>
    <w:rsid w:val="007C72D7"/>
    <w:rsid w:val="007E42D4"/>
    <w:rsid w:val="007F33D3"/>
    <w:rsid w:val="007F3548"/>
    <w:rsid w:val="00813762"/>
    <w:rsid w:val="00820AFD"/>
    <w:rsid w:val="00825F7D"/>
    <w:rsid w:val="00826ADE"/>
    <w:rsid w:val="00843219"/>
    <w:rsid w:val="008529BB"/>
    <w:rsid w:val="00861E1F"/>
    <w:rsid w:val="0086436F"/>
    <w:rsid w:val="00872616"/>
    <w:rsid w:val="00882E9C"/>
    <w:rsid w:val="00883FA2"/>
    <w:rsid w:val="008842E5"/>
    <w:rsid w:val="008864C4"/>
    <w:rsid w:val="00897B64"/>
    <w:rsid w:val="008A062A"/>
    <w:rsid w:val="008A1D60"/>
    <w:rsid w:val="008A36AA"/>
    <w:rsid w:val="008B04A2"/>
    <w:rsid w:val="008B6BD6"/>
    <w:rsid w:val="008B7700"/>
    <w:rsid w:val="008C7E9F"/>
    <w:rsid w:val="008D41DA"/>
    <w:rsid w:val="009064A8"/>
    <w:rsid w:val="00907F1D"/>
    <w:rsid w:val="00911B15"/>
    <w:rsid w:val="009222E3"/>
    <w:rsid w:val="009325F9"/>
    <w:rsid w:val="00934767"/>
    <w:rsid w:val="0094567F"/>
    <w:rsid w:val="009518C6"/>
    <w:rsid w:val="0095258E"/>
    <w:rsid w:val="00954A35"/>
    <w:rsid w:val="009565B8"/>
    <w:rsid w:val="00962911"/>
    <w:rsid w:val="00966FBB"/>
    <w:rsid w:val="009710DA"/>
    <w:rsid w:val="009717DA"/>
    <w:rsid w:val="0097756D"/>
    <w:rsid w:val="00981E89"/>
    <w:rsid w:val="00984117"/>
    <w:rsid w:val="00994107"/>
    <w:rsid w:val="009A0588"/>
    <w:rsid w:val="009A43DE"/>
    <w:rsid w:val="009E4F31"/>
    <w:rsid w:val="009F5DA3"/>
    <w:rsid w:val="00A1304B"/>
    <w:rsid w:val="00A153C5"/>
    <w:rsid w:val="00A229D8"/>
    <w:rsid w:val="00A33FF7"/>
    <w:rsid w:val="00A35720"/>
    <w:rsid w:val="00A43FDD"/>
    <w:rsid w:val="00A50DC2"/>
    <w:rsid w:val="00A54671"/>
    <w:rsid w:val="00A6346C"/>
    <w:rsid w:val="00A646B5"/>
    <w:rsid w:val="00A65747"/>
    <w:rsid w:val="00A659B8"/>
    <w:rsid w:val="00A742A1"/>
    <w:rsid w:val="00AA7442"/>
    <w:rsid w:val="00AB3B7D"/>
    <w:rsid w:val="00AC2D17"/>
    <w:rsid w:val="00AC4AFD"/>
    <w:rsid w:val="00AD1FEB"/>
    <w:rsid w:val="00AE4373"/>
    <w:rsid w:val="00B0115C"/>
    <w:rsid w:val="00B06B8D"/>
    <w:rsid w:val="00B11E2C"/>
    <w:rsid w:val="00B145C7"/>
    <w:rsid w:val="00B15AD4"/>
    <w:rsid w:val="00B31D8D"/>
    <w:rsid w:val="00B37D4D"/>
    <w:rsid w:val="00B42F7C"/>
    <w:rsid w:val="00B44BA9"/>
    <w:rsid w:val="00B47302"/>
    <w:rsid w:val="00B80E6F"/>
    <w:rsid w:val="00B85A2A"/>
    <w:rsid w:val="00B917F8"/>
    <w:rsid w:val="00B92728"/>
    <w:rsid w:val="00BA2CDC"/>
    <w:rsid w:val="00BA6341"/>
    <w:rsid w:val="00BB51B6"/>
    <w:rsid w:val="00BC2EA0"/>
    <w:rsid w:val="00BD2689"/>
    <w:rsid w:val="00BD5221"/>
    <w:rsid w:val="00BD7A7E"/>
    <w:rsid w:val="00BE0B82"/>
    <w:rsid w:val="00BE3895"/>
    <w:rsid w:val="00BF4F52"/>
    <w:rsid w:val="00C04D46"/>
    <w:rsid w:val="00C069A0"/>
    <w:rsid w:val="00C30683"/>
    <w:rsid w:val="00C32236"/>
    <w:rsid w:val="00C43445"/>
    <w:rsid w:val="00C64B9B"/>
    <w:rsid w:val="00C67FBD"/>
    <w:rsid w:val="00C758DD"/>
    <w:rsid w:val="00C86319"/>
    <w:rsid w:val="00C87344"/>
    <w:rsid w:val="00C937F1"/>
    <w:rsid w:val="00C965AA"/>
    <w:rsid w:val="00CA27AF"/>
    <w:rsid w:val="00CA2C85"/>
    <w:rsid w:val="00CC01B5"/>
    <w:rsid w:val="00CF11CF"/>
    <w:rsid w:val="00CF1581"/>
    <w:rsid w:val="00CF1C31"/>
    <w:rsid w:val="00CF5C5F"/>
    <w:rsid w:val="00D0694F"/>
    <w:rsid w:val="00D12700"/>
    <w:rsid w:val="00D2283B"/>
    <w:rsid w:val="00D240A4"/>
    <w:rsid w:val="00D3332A"/>
    <w:rsid w:val="00D37161"/>
    <w:rsid w:val="00D5507A"/>
    <w:rsid w:val="00D62505"/>
    <w:rsid w:val="00D76A3E"/>
    <w:rsid w:val="00D77E41"/>
    <w:rsid w:val="00D8020F"/>
    <w:rsid w:val="00D80EAD"/>
    <w:rsid w:val="00D81707"/>
    <w:rsid w:val="00D93C25"/>
    <w:rsid w:val="00D95BDA"/>
    <w:rsid w:val="00D9607F"/>
    <w:rsid w:val="00DA233F"/>
    <w:rsid w:val="00DB3C67"/>
    <w:rsid w:val="00DB5BE4"/>
    <w:rsid w:val="00DD6318"/>
    <w:rsid w:val="00DE5BE9"/>
    <w:rsid w:val="00DF584F"/>
    <w:rsid w:val="00DF5B78"/>
    <w:rsid w:val="00E143DA"/>
    <w:rsid w:val="00E25525"/>
    <w:rsid w:val="00E47C66"/>
    <w:rsid w:val="00E60233"/>
    <w:rsid w:val="00E6686B"/>
    <w:rsid w:val="00E80CD0"/>
    <w:rsid w:val="00E81287"/>
    <w:rsid w:val="00E97500"/>
    <w:rsid w:val="00EA39DE"/>
    <w:rsid w:val="00EA5C08"/>
    <w:rsid w:val="00EA7D7B"/>
    <w:rsid w:val="00EC2652"/>
    <w:rsid w:val="00EC7619"/>
    <w:rsid w:val="00ED78DF"/>
    <w:rsid w:val="00EE351C"/>
    <w:rsid w:val="00EF5F81"/>
    <w:rsid w:val="00EF7DEA"/>
    <w:rsid w:val="00F00FF1"/>
    <w:rsid w:val="00F03B03"/>
    <w:rsid w:val="00F1447B"/>
    <w:rsid w:val="00F15EDD"/>
    <w:rsid w:val="00F26427"/>
    <w:rsid w:val="00F34831"/>
    <w:rsid w:val="00F403A5"/>
    <w:rsid w:val="00F52CC0"/>
    <w:rsid w:val="00F605FE"/>
    <w:rsid w:val="00F6194E"/>
    <w:rsid w:val="00F766AA"/>
    <w:rsid w:val="00F8365C"/>
    <w:rsid w:val="00FA438B"/>
    <w:rsid w:val="00FB2180"/>
    <w:rsid w:val="00FB5BE0"/>
    <w:rsid w:val="00FB6A2D"/>
    <w:rsid w:val="00FC3172"/>
    <w:rsid w:val="00FD0C06"/>
    <w:rsid w:val="00FD7749"/>
    <w:rsid w:val="00FE15CE"/>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06176A3F-6973-4F11-82CD-2FDB72C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 w:type="paragraph" w:styleId="ListParagraph">
    <w:name w:val="List Paragraph"/>
    <w:basedOn w:val="Normal"/>
    <w:uiPriority w:val="34"/>
    <w:qFormat/>
    <w:rsid w:val="00843219"/>
    <w:pPr>
      <w:spacing w:after="0" w:line="240" w:lineRule="auto"/>
      <w:ind w:left="720"/>
      <w:contextualSpacing/>
      <w:jc w:val="both"/>
    </w:pPr>
    <w:rPr>
      <w:rFonts w:cs="Times New Roman"/>
      <w:szCs w:val="22"/>
    </w:rPr>
  </w:style>
  <w:style w:type="paragraph" w:customStyle="1" w:styleId="PHEBodycopy">
    <w:name w:val="PHE Body copy"/>
    <w:basedOn w:val="Normal"/>
    <w:qFormat/>
    <w:rsid w:val="00962911"/>
    <w:pPr>
      <w:spacing w:after="0" w:line="320" w:lineRule="exact"/>
      <w:ind w:right="794"/>
    </w:pPr>
    <w:rPr>
      <w:rFonts w:eastAsia="Times New Roman" w:cs="Times New Roman"/>
      <w:szCs w:val="20"/>
      <w:lang w:eastAsia="en-GB"/>
    </w:rPr>
  </w:style>
  <w:style w:type="paragraph" w:customStyle="1" w:styleId="PHEfigureheadings">
    <w:name w:val="PHE figure headings"/>
    <w:basedOn w:val="Normal"/>
    <w:link w:val="PHEfigureheadingsChar"/>
    <w:qFormat/>
    <w:rsid w:val="00962911"/>
    <w:pPr>
      <w:spacing w:after="0" w:line="280" w:lineRule="atLeast"/>
    </w:pPr>
    <w:rPr>
      <w:rFonts w:eastAsiaTheme="minorEastAsia" w:cs="Times New Roman"/>
      <w:b/>
      <w:szCs w:val="20"/>
    </w:rPr>
  </w:style>
  <w:style w:type="character" w:customStyle="1" w:styleId="PHEfigureheadingsChar">
    <w:name w:val="PHE figure headings Char"/>
    <w:basedOn w:val="DefaultParagraphFont"/>
    <w:link w:val="PHEfigureheadings"/>
    <w:rsid w:val="00962911"/>
    <w:rPr>
      <w:rFonts w:ascii="Arial" w:eastAsiaTheme="minorEastAsia"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2400">
      <w:bodyDiv w:val="1"/>
      <w:marLeft w:val="0"/>
      <w:marRight w:val="0"/>
      <w:marTop w:val="0"/>
      <w:marBottom w:val="0"/>
      <w:divBdr>
        <w:top w:val="none" w:sz="0" w:space="0" w:color="auto"/>
        <w:left w:val="none" w:sz="0" w:space="0" w:color="auto"/>
        <w:bottom w:val="none" w:sz="0" w:space="0" w:color="auto"/>
        <w:right w:val="none" w:sz="0" w:space="0" w:color="auto"/>
      </w:divBdr>
    </w:div>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604266748">
      <w:bodyDiv w:val="1"/>
      <w:marLeft w:val="0"/>
      <w:marRight w:val="0"/>
      <w:marTop w:val="0"/>
      <w:marBottom w:val="0"/>
      <w:divBdr>
        <w:top w:val="none" w:sz="0" w:space="0" w:color="auto"/>
        <w:left w:val="none" w:sz="0" w:space="0" w:color="auto"/>
        <w:bottom w:val="none" w:sz="0" w:space="0" w:color="auto"/>
        <w:right w:val="none" w:sz="0" w:space="0" w:color="auto"/>
      </w:divBdr>
    </w:div>
    <w:div w:id="992756394">
      <w:bodyDiv w:val="1"/>
      <w:marLeft w:val="0"/>
      <w:marRight w:val="0"/>
      <w:marTop w:val="0"/>
      <w:marBottom w:val="0"/>
      <w:divBdr>
        <w:top w:val="none" w:sz="0" w:space="0" w:color="auto"/>
        <w:left w:val="none" w:sz="0" w:space="0" w:color="auto"/>
        <w:bottom w:val="none" w:sz="0" w:space="0" w:color="auto"/>
        <w:right w:val="none" w:sz="0" w:space="0" w:color="auto"/>
      </w:divBdr>
    </w:div>
    <w:div w:id="1420129266">
      <w:bodyDiv w:val="1"/>
      <w:marLeft w:val="0"/>
      <w:marRight w:val="0"/>
      <w:marTop w:val="0"/>
      <w:marBottom w:val="0"/>
      <w:divBdr>
        <w:top w:val="none" w:sz="0" w:space="0" w:color="auto"/>
        <w:left w:val="none" w:sz="0" w:space="0" w:color="auto"/>
        <w:bottom w:val="none" w:sz="0" w:space="0" w:color="auto"/>
        <w:right w:val="none" w:sz="0" w:space="0" w:color="auto"/>
      </w:divBdr>
    </w:div>
    <w:div w:id="1468426645">
      <w:bodyDiv w:val="1"/>
      <w:marLeft w:val="0"/>
      <w:marRight w:val="0"/>
      <w:marTop w:val="0"/>
      <w:marBottom w:val="0"/>
      <w:divBdr>
        <w:top w:val="none" w:sz="0" w:space="0" w:color="auto"/>
        <w:left w:val="none" w:sz="0" w:space="0" w:color="auto"/>
        <w:bottom w:val="none" w:sz="0" w:space="0" w:color="auto"/>
        <w:right w:val="none" w:sz="0" w:space="0" w:color="auto"/>
      </w:divBdr>
    </w:div>
    <w:div w:id="1481464352">
      <w:bodyDiv w:val="1"/>
      <w:marLeft w:val="0"/>
      <w:marRight w:val="0"/>
      <w:marTop w:val="0"/>
      <w:marBottom w:val="0"/>
      <w:divBdr>
        <w:top w:val="none" w:sz="0" w:space="0" w:color="auto"/>
        <w:left w:val="none" w:sz="0" w:space="0" w:color="auto"/>
        <w:bottom w:val="none" w:sz="0" w:space="0" w:color="auto"/>
        <w:right w:val="none" w:sz="0" w:space="0" w:color="auto"/>
      </w:divBdr>
    </w:div>
    <w:div w:id="1578905474">
      <w:bodyDiv w:val="1"/>
      <w:marLeft w:val="0"/>
      <w:marRight w:val="0"/>
      <w:marTop w:val="0"/>
      <w:marBottom w:val="0"/>
      <w:divBdr>
        <w:top w:val="none" w:sz="0" w:space="0" w:color="auto"/>
        <w:left w:val="none" w:sz="0" w:space="0" w:color="auto"/>
        <w:bottom w:val="none" w:sz="0" w:space="0" w:color="auto"/>
        <w:right w:val="none" w:sz="0" w:space="0" w:color="auto"/>
      </w:divBdr>
    </w:div>
    <w:div w:id="1603106171">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 w:id="1790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Kate Hutchinson</cp:lastModifiedBy>
  <cp:revision>3</cp:revision>
  <dcterms:created xsi:type="dcterms:W3CDTF">2022-09-13T07:42:00Z</dcterms:created>
  <dcterms:modified xsi:type="dcterms:W3CDTF">2022-09-13T07:59:00Z</dcterms:modified>
</cp:coreProperties>
</file>